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833633" w:rsidRDefault="00000000">
      <w:pPr>
        <w:rPr>
          <w:b/>
          <w:bCs/>
          <w:sz w:val="32"/>
          <w:szCs w:val="32"/>
        </w:rPr>
      </w:pPr>
      <w:r>
        <w:rPr>
          <w:b/>
          <w:bCs/>
          <w:sz w:val="32"/>
          <w:szCs w:val="32"/>
        </w:rPr>
        <w:t>Weltklassetoiletten zum „Weltfest des Pferdesports“ CHIO</w:t>
      </w:r>
    </w:p>
    <w:tbl>
      <w:tblPr>
        <w:tblStyle w:val="TabelleEinfach1"/>
        <w:tblW w:w="5000" w:type="pct"/>
        <w:tblLayout w:type="fixed"/>
        <w:tblCellMar>
          <w:left w:w="0" w:type="dxa"/>
          <w:right w:w="227" w:type="dxa"/>
        </w:tblCellMar>
        <w:tblLook w:val="04A0" w:firstRow="1" w:lastRow="0" w:firstColumn="1" w:lastColumn="0" w:noHBand="0" w:noVBand="1"/>
      </w:tblPr>
      <w:tblGrid>
        <w:gridCol w:w="3792"/>
        <w:gridCol w:w="3792"/>
        <w:gridCol w:w="2395"/>
      </w:tblGrid>
      <w:tr w:rsidR="00833633">
        <w:tc>
          <w:tcPr>
            <w:tcW w:w="3800" w:type="pct"/>
            <w:gridSpan w:val="2"/>
            <w:tcBorders>
              <w:top w:val="nil"/>
              <w:left w:val="nil"/>
              <w:bottom w:val="nil"/>
              <w:right w:val="nil"/>
            </w:tcBorders>
            <w:shd w:val="clear" w:color="auto" w:fill="auto"/>
            <w:tcMar>
              <w:top w:w="0" w:type="dxa"/>
              <w:left w:w="0" w:type="dxa"/>
              <w:bottom w:w="0" w:type="dxa"/>
              <w:right w:w="227" w:type="dxa"/>
            </w:tcMar>
          </w:tcPr>
          <w:p w:rsidR="00833633" w:rsidRDefault="00000000">
            <w:r>
              <w:rPr>
                <w:rFonts w:eastAsia="Arial"/>
              </w:rPr>
              <w:t>TOTO bietet in exklusiven Containern Luxus auf dem stillen Ort.</w:t>
            </w:r>
          </w:p>
        </w:tc>
        <w:tc>
          <w:tcPr>
            <w:tcW w:w="1200" w:type="pct"/>
            <w:tcBorders>
              <w:top w:val="nil"/>
              <w:left w:val="nil"/>
              <w:bottom w:val="nil"/>
              <w:right w:val="nil"/>
            </w:tcBorders>
            <w:shd w:val="clear" w:color="auto" w:fill="auto"/>
            <w:tcMar>
              <w:top w:w="0" w:type="dxa"/>
              <w:left w:w="0" w:type="dxa"/>
              <w:bottom w:w="0" w:type="dxa"/>
              <w:right w:w="227" w:type="dxa"/>
            </w:tcMar>
          </w:tcPr>
          <w:p w:rsidR="00833633" w:rsidRDefault="00833633"/>
        </w:tc>
      </w:tr>
      <w:tr w:rsidR="00833633" w:rsidTr="00873C1C">
        <w:trPr>
          <w:gridAfter w:val="1"/>
          <w:wAfter w:w="1200" w:type="pct"/>
        </w:trPr>
        <w:tc>
          <w:tcPr>
            <w:tcW w:w="1900" w:type="pct"/>
            <w:tcBorders>
              <w:top w:val="nil"/>
              <w:left w:val="nil"/>
              <w:bottom w:val="nil"/>
              <w:right w:val="nil"/>
            </w:tcBorders>
            <w:shd w:val="clear" w:color="auto" w:fill="auto"/>
            <w:tcMar>
              <w:top w:w="0" w:type="dxa"/>
              <w:left w:w="0" w:type="dxa"/>
              <w:bottom w:w="0" w:type="dxa"/>
              <w:right w:w="227" w:type="dxa"/>
            </w:tcMar>
          </w:tcPr>
          <w:p w:rsidR="00833633" w:rsidRDefault="00833633"/>
        </w:tc>
        <w:tc>
          <w:tcPr>
            <w:tcW w:w="1900" w:type="pct"/>
            <w:tcBorders>
              <w:top w:val="nil"/>
              <w:left w:val="nil"/>
              <w:bottom w:val="nil"/>
              <w:right w:val="nil"/>
            </w:tcBorders>
            <w:shd w:val="clear" w:color="auto" w:fill="auto"/>
            <w:tcMar>
              <w:top w:w="0" w:type="dxa"/>
              <w:left w:w="0" w:type="dxa"/>
              <w:bottom w:w="0" w:type="dxa"/>
              <w:right w:w="227" w:type="dxa"/>
            </w:tcMar>
          </w:tcPr>
          <w:p w:rsidR="00833633" w:rsidRDefault="00833633"/>
        </w:tc>
      </w:tr>
      <w:tr w:rsidR="00833633">
        <w:tblPrEx>
          <w:jc w:val="center"/>
        </w:tblPrEx>
        <w:trPr>
          <w:jc w:val="center"/>
        </w:trPr>
        <w:tc>
          <w:tcPr>
            <w:tcW w:w="5000" w:type="pct"/>
            <w:gridSpan w:val="3"/>
            <w:tcBorders>
              <w:top w:val="nil"/>
              <w:left w:val="nil"/>
              <w:bottom w:val="nil"/>
              <w:right w:val="nil"/>
            </w:tcBorders>
            <w:shd w:val="clear" w:color="auto" w:fill="auto"/>
            <w:tcMar>
              <w:top w:w="0" w:type="dxa"/>
              <w:left w:w="0" w:type="dxa"/>
              <w:bottom w:w="0" w:type="dxa"/>
              <w:right w:w="227" w:type="dxa"/>
            </w:tcMar>
          </w:tcPr>
          <w:p w:rsidR="00833633" w:rsidRDefault="00000000">
            <w:pPr>
              <w:rPr>
                <w:sz w:val="18"/>
                <w:szCs w:val="18"/>
              </w:rPr>
            </w:pPr>
            <w:r>
              <w:rPr>
                <w:noProof/>
                <w:sz w:val="18"/>
                <w:szCs w:val="18"/>
              </w:rPr>
              <w:drawing>
                <wp:inline distT="0" distB="0" distL="0" distR="0">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6"/>
                          <a:srcRect/>
                          <a:stretch>
                            <a:fillRect/>
                          </a:stretch>
                        </pic:blipFill>
                        <pic:spPr>
                          <a:xfrm>
                            <a:off x="0" y="0"/>
                            <a:ext cx="3995420" cy="2663825"/>
                          </a:xfrm>
                          <a:prstGeom prst="rect">
                            <a:avLst/>
                          </a:prstGeom>
                        </pic:spPr>
                      </pic:pic>
                    </a:graphicData>
                  </a:graphic>
                </wp:inline>
              </w:drawing>
            </w:r>
          </w:p>
        </w:tc>
      </w:tr>
    </w:tbl>
    <w:p w:rsidR="00833633" w:rsidRDefault="00000000">
      <w:pPr>
        <w:rPr>
          <w:sz w:val="8"/>
          <w:szCs w:val="8"/>
        </w:rPr>
      </w:pPr>
      <w:r>
        <w:rPr>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7584"/>
        <w:gridCol w:w="2395"/>
      </w:tblGrid>
      <w:tr w:rsidR="00833633">
        <w:tc>
          <w:tcPr>
            <w:tcW w:w="3800" w:type="pct"/>
            <w:tcBorders>
              <w:top w:val="nil"/>
              <w:left w:val="nil"/>
              <w:bottom w:val="nil"/>
              <w:right w:val="nil"/>
            </w:tcBorders>
            <w:shd w:val="clear" w:color="auto" w:fill="auto"/>
            <w:tcMar>
              <w:top w:w="0" w:type="dxa"/>
              <w:left w:w="0" w:type="dxa"/>
              <w:bottom w:w="0" w:type="dxa"/>
              <w:right w:w="227" w:type="dxa"/>
            </w:tcMar>
          </w:tcPr>
          <w:p w:rsidR="00833633" w:rsidRDefault="00000000">
            <w:pPr>
              <w:spacing w:after="240"/>
              <w:rPr>
                <w:sz w:val="20"/>
                <w:szCs w:val="20"/>
              </w:rPr>
            </w:pPr>
            <w:r>
              <w:rPr>
                <w:i/>
                <w:sz w:val="20"/>
                <w:szCs w:val="20"/>
              </w:rPr>
              <w:t xml:space="preserve">Großveranstaltungen wie das weltberühmte </w:t>
            </w:r>
            <w:proofErr w:type="gramStart"/>
            <w:r>
              <w:rPr>
                <w:i/>
                <w:sz w:val="20"/>
                <w:szCs w:val="20"/>
              </w:rPr>
              <w:t>CHIO Pferdesportturnier</w:t>
            </w:r>
            <w:proofErr w:type="gramEnd"/>
            <w:r>
              <w:rPr>
                <w:i/>
                <w:sz w:val="20"/>
                <w:szCs w:val="20"/>
              </w:rPr>
              <w:t xml:space="preserve"> in Aachen ziehen auch Royals, Celebrities und die Politikprominenz an. Und auch sie müssen bei diesem Event irgendwann einmal auf die Toilette gehen. Ein Albtraum? In diesem Fall nicht. Auf dem CHIO, der vom 27.06. bis zum 06.07. stattfindet, strahlt im Champions Circle selbst das stille Örtchen eine gewisse Exklusivität aus und lässt in Sachen Sauberkeit und Hygiene keine Wünsche offen. Henning Senger, Inhaber der Senger Gebäudetechnik GmbH &amp; Co. KG, hat mit der Ausstattung und Vermietung der hochwertigen Sanitärcontainer für die temporäre Nutzung ein spannendes Geschäftsfeld entdeckt, von dem auch TOTO profitiert. Auf dem CHIO sind 4 exklusive WC-Container mit WASHLET im Einsatz.</w:t>
            </w:r>
          </w:p>
          <w:p w:rsidR="00833633" w:rsidRDefault="00000000">
            <w:pPr>
              <w:spacing w:after="240"/>
              <w:rPr>
                <w:sz w:val="20"/>
                <w:szCs w:val="20"/>
              </w:rPr>
            </w:pPr>
            <w:r>
              <w:rPr>
                <w:b/>
                <w:sz w:val="20"/>
                <w:szCs w:val="20"/>
              </w:rPr>
              <w:t>VIP-Komfort auf höchstem Niveau</w:t>
            </w:r>
          </w:p>
          <w:p w:rsidR="00833633" w:rsidRDefault="00000000">
            <w:pPr>
              <w:spacing w:after="240"/>
              <w:rPr>
                <w:sz w:val="20"/>
                <w:szCs w:val="20"/>
              </w:rPr>
            </w:pPr>
            <w:r>
              <w:rPr>
                <w:sz w:val="20"/>
                <w:szCs w:val="20"/>
              </w:rPr>
              <w:t xml:space="preserve">Henning Senger ist ein wichtiger Kooperationspartner des auf hochwertige Sanitärlösungen spezialisierten Unternehmens TOTO. Ein WASHLET des japanischen Unternehmens ist für Senger in seinen außergewöhnlichen Sanitärcontainern daher </w:t>
            </w:r>
            <w:proofErr w:type="spellStart"/>
            <w:r>
              <w:rPr>
                <w:sz w:val="20"/>
                <w:szCs w:val="20"/>
              </w:rPr>
              <w:t>state</w:t>
            </w:r>
            <w:proofErr w:type="spellEnd"/>
            <w:r>
              <w:rPr>
                <w:sz w:val="20"/>
                <w:szCs w:val="20"/>
              </w:rPr>
              <w:t xml:space="preserve"> </w:t>
            </w:r>
            <w:proofErr w:type="spellStart"/>
            <w:r>
              <w:rPr>
                <w:sz w:val="20"/>
                <w:szCs w:val="20"/>
              </w:rPr>
              <w:t>of</w:t>
            </w:r>
            <w:proofErr w:type="spellEnd"/>
            <w:r>
              <w:rPr>
                <w:sz w:val="20"/>
                <w:szCs w:val="20"/>
              </w:rPr>
              <w:t xml:space="preserve"> </w:t>
            </w:r>
            <w:proofErr w:type="spellStart"/>
            <w:r>
              <w:rPr>
                <w:sz w:val="20"/>
                <w:szCs w:val="20"/>
              </w:rPr>
              <w:t>the</w:t>
            </w:r>
            <w:proofErr w:type="spellEnd"/>
            <w:r>
              <w:rPr>
                <w:sz w:val="20"/>
                <w:szCs w:val="20"/>
              </w:rPr>
              <w:t xml:space="preserve"> art. „Ihre Vorzüge in puncto Sauberkeit und Hygiene erfüllen auf Events wie dem CHIO voll und ganz die hohen Ansprüche der Gäste, die sich im exklusiven Champions Circle Bereich aufhalten“, so der erfahrene Sanitärfachmann. Für manche Gäste ist die Intimreinigung mit frischem, warmem Wasser ein ganz neues Erlebnis, andere kennen das WASHLET schon von ihren Aufenthalten in gehobenen 5-Sterne-Hotels auf der ganzen Welt. Gerade im Sommer bei höheren Temperaturen und auf Großveranstaltungen ist die Nutzung eines WASHLET eine äußerst angenehme Erfahrung, die sie laut Senger in seinen VIP-Containern unbedingt machen sollten.  </w:t>
            </w:r>
            <w:r>
              <w:rPr>
                <w:sz w:val="20"/>
                <w:szCs w:val="20"/>
              </w:rPr>
              <w:br/>
              <w:t>„TOTO steht für hochwertige Keramik, die selbst nach intensiver und jahrelanger Nutzung ihre Brillanz behält und so ästhetisch und sauber ist wie am ersten Tag“, weiß Henning Senger aus eigener Erfahrung.</w:t>
            </w:r>
          </w:p>
          <w:p w:rsidR="00833633" w:rsidRDefault="00000000">
            <w:pPr>
              <w:spacing w:after="240"/>
              <w:rPr>
                <w:sz w:val="20"/>
                <w:szCs w:val="20"/>
              </w:rPr>
            </w:pPr>
            <w:r>
              <w:rPr>
                <w:b/>
                <w:sz w:val="20"/>
                <w:szCs w:val="20"/>
              </w:rPr>
              <w:lastRenderedPageBreak/>
              <w:t>Ein Gefühl von Stil und Wertschätzung</w:t>
            </w:r>
          </w:p>
          <w:p w:rsidR="00833633" w:rsidRDefault="00000000">
            <w:pPr>
              <w:spacing w:after="240"/>
              <w:rPr>
                <w:sz w:val="20"/>
                <w:szCs w:val="20"/>
              </w:rPr>
            </w:pPr>
            <w:r>
              <w:rPr>
                <w:sz w:val="20"/>
                <w:szCs w:val="20"/>
              </w:rPr>
              <w:t>Nach dem CHIO in Aachen wandern die Container mit den WASHLET von TOTO weiter und sind unter anderem bei Premium-Automobilherstellern, auf verschiedenen, exklusiven Sport- und Firmenevents sowie Hochzeiten im Einsatz. „Wir möchten, dass Gäste beim Besuch der Toilette überrascht sind – im positiven Sinn. Unsere Container bieten daher mehr als nur Sauberkeit und Funktionalität – sie vermitteln Stil, Komfort und ein Gefühl von Wertschätzung“, so Senger.   </w:t>
            </w:r>
            <w:r>
              <w:rPr>
                <w:sz w:val="20"/>
                <w:szCs w:val="20"/>
              </w:rPr>
              <w:br/>
            </w:r>
            <w:r>
              <w:rPr>
                <w:sz w:val="20"/>
                <w:szCs w:val="20"/>
              </w:rPr>
              <w:br/>
              <w:t xml:space="preserve">Henning Senger ist Mitglied bei </w:t>
            </w:r>
            <w:proofErr w:type="spellStart"/>
            <w:r>
              <w:rPr>
                <w:sz w:val="20"/>
                <w:szCs w:val="20"/>
              </w:rPr>
              <w:t>bad</w:t>
            </w:r>
            <w:proofErr w:type="spellEnd"/>
            <w:r>
              <w:rPr>
                <w:sz w:val="20"/>
                <w:szCs w:val="20"/>
              </w:rPr>
              <w:t xml:space="preserve"> &amp; </w:t>
            </w:r>
            <w:proofErr w:type="spellStart"/>
            <w:r>
              <w:rPr>
                <w:sz w:val="20"/>
                <w:szCs w:val="20"/>
              </w:rPr>
              <w:t>heizung</w:t>
            </w:r>
            <w:proofErr w:type="spellEnd"/>
            <w:r>
              <w:rPr>
                <w:sz w:val="20"/>
                <w:szCs w:val="20"/>
              </w:rPr>
              <w:t xml:space="preserve"> </w:t>
            </w:r>
            <w:proofErr w:type="spellStart"/>
            <w:r>
              <w:rPr>
                <w:sz w:val="20"/>
                <w:szCs w:val="20"/>
              </w:rPr>
              <w:t>concept</w:t>
            </w:r>
            <w:proofErr w:type="spellEnd"/>
            <w:r>
              <w:rPr>
                <w:sz w:val="20"/>
                <w:szCs w:val="20"/>
              </w:rPr>
              <w:t xml:space="preserve"> AG, ein deutschlandweit tätiger Zusammenschluss von hochwertigen Bäderbaubetrieben, die neben Heizungsbau vor allem auf die Renovierung und den Neubau von Bädern spezialisiert sind.</w:t>
            </w:r>
          </w:p>
          <w:p w:rsidR="00833633" w:rsidRDefault="00000000">
            <w:pPr>
              <w:spacing w:after="240"/>
              <w:rPr>
                <w:sz w:val="20"/>
                <w:szCs w:val="20"/>
              </w:rPr>
            </w:pPr>
            <w:r>
              <w:rPr>
                <w:b/>
                <w:sz w:val="20"/>
                <w:szCs w:val="20"/>
              </w:rPr>
              <w:t>Drei Fragen an Henning Senger:</w:t>
            </w:r>
          </w:p>
          <w:p w:rsidR="00833633" w:rsidRDefault="00000000">
            <w:pPr>
              <w:spacing w:after="240"/>
              <w:rPr>
                <w:sz w:val="20"/>
                <w:szCs w:val="20"/>
              </w:rPr>
            </w:pPr>
            <w:r>
              <w:rPr>
                <w:i/>
                <w:sz w:val="20"/>
                <w:szCs w:val="20"/>
              </w:rPr>
              <w:t>Wie sind Sie auf die Idee gekommen, exklusive Sanitärcontainer zu gestalten und zu vermieten?</w:t>
            </w:r>
            <w:r w:rsidR="00873C1C">
              <w:rPr>
                <w:i/>
                <w:sz w:val="20"/>
                <w:szCs w:val="20"/>
              </w:rPr>
              <w:br/>
            </w:r>
            <w:r w:rsidR="00873C1C">
              <w:rPr>
                <w:sz w:val="20"/>
                <w:szCs w:val="20"/>
              </w:rPr>
              <w:t>He</w:t>
            </w:r>
            <w:r>
              <w:rPr>
                <w:sz w:val="20"/>
                <w:szCs w:val="20"/>
              </w:rPr>
              <w:t>nning Senger: Es war im wahrsten Sinne des Wortes eine Schnapsidee, die uns während einer Hochzeitsfeier gekommen ist. Es gab dort ein tolles Zelt, fantastisches Essen, Musik und Showacts, also im Grunde alles was das Herz begehrt, aber keine dem Anlass angemessene, mobile WC-Lösung. Wir haben uns dann gedacht, dass wir dies besser können und haben am Montag darauf begonnen. Wir haben als Erstes einen Anhänger gekauft und diesen zu einem hochwertigen WC umgebaut. Mittlerweile haben wir anstelle der Anhänger die Container, aber so ging es mit viel Enthusiasmus und Herzblut vor 15 Jahren los.</w:t>
            </w:r>
          </w:p>
          <w:p w:rsidR="00833633" w:rsidRDefault="00000000">
            <w:pPr>
              <w:spacing w:after="240"/>
              <w:rPr>
                <w:sz w:val="20"/>
                <w:szCs w:val="20"/>
              </w:rPr>
            </w:pPr>
            <w:r>
              <w:rPr>
                <w:i/>
                <w:sz w:val="20"/>
                <w:szCs w:val="20"/>
              </w:rPr>
              <w:t>Welches Konzept verfolgen Sie?</w:t>
            </w:r>
            <w:r w:rsidR="00873C1C">
              <w:rPr>
                <w:i/>
                <w:sz w:val="20"/>
                <w:szCs w:val="20"/>
              </w:rPr>
              <w:br/>
            </w:r>
            <w:r>
              <w:rPr>
                <w:sz w:val="20"/>
                <w:szCs w:val="20"/>
              </w:rPr>
              <w:t>Henning Senger: Unser Konzept basiert auf dem Anspruch, mobile WC-Lösungen zu bieten, die mehr können, als nur funktional zu sein. Wir gestalten hochwertige Sanitärcontainer, die sich in jedes anspruchsvolle Veranstaltungskonzept nahtlos einfügen – optisch, technisch und im Service. Ganz wichtig: Unsere Container bieten mehr als nur Sauberkeit und Funktionalität – sie vermitteln Stil, Komfort und ein Gefühl von Wertschätzung. Dazu gehört eine moderne Ausstattung mit hochwertigen Materialien, durchdachter Raumaufteilung, Beleuchtung, Spiegeln und häufig auch kleinen Extras wie Musik oder Duftsystemen.</w:t>
            </w:r>
          </w:p>
          <w:p w:rsidR="00833633" w:rsidRDefault="00000000">
            <w:pPr>
              <w:spacing w:after="240"/>
              <w:rPr>
                <w:sz w:val="20"/>
                <w:szCs w:val="20"/>
              </w:rPr>
            </w:pPr>
            <w:r>
              <w:rPr>
                <w:i/>
                <w:sz w:val="20"/>
                <w:szCs w:val="20"/>
              </w:rPr>
              <w:t>Was schätzt Ihre Kundschaft an Ihren Containern?</w:t>
            </w:r>
            <w:r w:rsidR="00873C1C">
              <w:rPr>
                <w:i/>
                <w:sz w:val="20"/>
                <w:szCs w:val="20"/>
              </w:rPr>
              <w:br/>
            </w:r>
            <w:r>
              <w:rPr>
                <w:sz w:val="20"/>
                <w:szCs w:val="20"/>
              </w:rPr>
              <w:t xml:space="preserve">Henning Senger: Unsere Kunden schätzen die Kombination aus Qualität, Design und Komfort. Die Referenzliste reicht dabei von namhaften Automobilmarken über Premiumpartner aus der Industrie bis hin zu Eventagenturen, die besonderen Wert auf eine durchgängig hochwertige </w:t>
            </w:r>
            <w:proofErr w:type="spellStart"/>
            <w:r>
              <w:rPr>
                <w:sz w:val="20"/>
                <w:szCs w:val="20"/>
              </w:rPr>
              <w:t>Besucherführung</w:t>
            </w:r>
            <w:proofErr w:type="spellEnd"/>
            <w:r>
              <w:rPr>
                <w:sz w:val="20"/>
                <w:szCs w:val="20"/>
              </w:rPr>
              <w:t xml:space="preserve"> legen. Unsere Container sollen nicht nur ausreichend funktional sein, sondern beeindrucken – denn auch im Detail zeigt sich Qualität. Die positive Überraschung ist dann meist auf unserer Seite!</w:t>
            </w:r>
          </w:p>
          <w:p w:rsidR="00833633" w:rsidRDefault="00000000">
            <w:pPr>
              <w:rPr>
                <w:sz w:val="20"/>
                <w:szCs w:val="20"/>
              </w:rPr>
            </w:pPr>
            <w:r>
              <w:rPr>
                <w:sz w:val="20"/>
                <w:szCs w:val="20"/>
              </w:rPr>
              <w:t>Düsseldorf, im Juli 2025</w:t>
            </w:r>
            <w:r>
              <w:rPr>
                <w:sz w:val="20"/>
                <w:szCs w:val="20"/>
              </w:rPr>
              <w:br/>
              <w:t>Abdruck honorarfrei / Beleg erbeten</w:t>
            </w:r>
          </w:p>
        </w:tc>
        <w:tc>
          <w:tcPr>
            <w:tcW w:w="1200" w:type="pct"/>
            <w:tcBorders>
              <w:top w:val="nil"/>
              <w:left w:val="nil"/>
              <w:bottom w:val="nil"/>
              <w:right w:val="nil"/>
            </w:tcBorders>
            <w:shd w:val="clear" w:color="auto" w:fill="auto"/>
            <w:tcMar>
              <w:top w:w="0" w:type="dxa"/>
              <w:left w:w="0" w:type="dxa"/>
              <w:bottom w:w="0" w:type="dxa"/>
              <w:right w:w="227" w:type="dxa"/>
            </w:tcMar>
          </w:tcPr>
          <w:p w:rsidR="00833633" w:rsidRDefault="00000000">
            <w:pPr>
              <w:spacing w:after="240"/>
              <w:rPr>
                <w:sz w:val="20"/>
                <w:szCs w:val="20"/>
              </w:rPr>
            </w:pPr>
            <w:r>
              <w:rPr>
                <w:b/>
                <w:sz w:val="20"/>
                <w:szCs w:val="20"/>
              </w:rPr>
              <w:lastRenderedPageBreak/>
              <w:t>Ansprechpartner für Journalisten:</w:t>
            </w:r>
            <w:r>
              <w:rPr>
                <w:b/>
                <w:sz w:val="20"/>
                <w:szCs w:val="20"/>
              </w:rPr>
              <w:br/>
            </w:r>
            <w:r>
              <w:rPr>
                <w:sz w:val="20"/>
                <w:szCs w:val="20"/>
              </w:rPr>
              <w:t>bering*</w:t>
            </w:r>
            <w:proofErr w:type="spellStart"/>
            <w:r>
              <w:rPr>
                <w:sz w:val="20"/>
                <w:szCs w:val="20"/>
              </w:rPr>
              <w:t>kopal</w:t>
            </w:r>
            <w:proofErr w:type="spellEnd"/>
            <w:r>
              <w:rPr>
                <w:sz w:val="20"/>
                <w:szCs w:val="20"/>
              </w:rPr>
              <w:t xml:space="preserve"> GbR, Büro für Kommunikation</w:t>
            </w:r>
            <w:r>
              <w:rPr>
                <w:sz w:val="20"/>
                <w:szCs w:val="20"/>
              </w:rPr>
              <w:br/>
              <w:t>Heike Bering</w:t>
            </w:r>
            <w:r>
              <w:rPr>
                <w:sz w:val="20"/>
                <w:szCs w:val="20"/>
              </w:rPr>
              <w:br/>
              <w:t>Tel. +49 (0)711 7451 759 15</w:t>
            </w:r>
          </w:p>
          <w:p w:rsidR="00833633" w:rsidRDefault="00000000">
            <w:pPr>
              <w:spacing w:after="240"/>
              <w:rPr>
                <w:sz w:val="20"/>
                <w:szCs w:val="20"/>
              </w:rPr>
            </w:pPr>
            <w:proofErr w:type="spellStart"/>
            <w:proofErr w:type="gramStart"/>
            <w:r>
              <w:rPr>
                <w:sz w:val="20"/>
                <w:szCs w:val="20"/>
              </w:rPr>
              <w:t>heike.bering</w:t>
            </w:r>
            <w:proofErr w:type="spellEnd"/>
            <w:proofErr w:type="gramEnd"/>
            <w:r>
              <w:rPr>
                <w:sz w:val="20"/>
                <w:szCs w:val="20"/>
              </w:rPr>
              <w:t>@</w:t>
            </w:r>
            <w:r>
              <w:rPr>
                <w:sz w:val="20"/>
                <w:szCs w:val="20"/>
              </w:rPr>
              <w:br/>
              <w:t>bering-kopal.de</w:t>
            </w:r>
          </w:p>
          <w:p w:rsidR="00833633" w:rsidRDefault="00000000">
            <w:pPr>
              <w:spacing w:after="240"/>
              <w:rPr>
                <w:sz w:val="20"/>
                <w:szCs w:val="20"/>
              </w:rPr>
            </w:pPr>
            <w:r>
              <w:rPr>
                <w:b/>
                <w:sz w:val="20"/>
                <w:szCs w:val="20"/>
              </w:rPr>
              <w:t>Ansprechpartnerin im Unternehmen:</w:t>
            </w:r>
            <w:r>
              <w:rPr>
                <w:b/>
                <w:sz w:val="20"/>
                <w:szCs w:val="20"/>
              </w:rPr>
              <w:br/>
            </w:r>
            <w:r>
              <w:rPr>
                <w:sz w:val="20"/>
                <w:szCs w:val="20"/>
              </w:rPr>
              <w:t>Anja Giersiepen</w:t>
            </w:r>
            <w:r>
              <w:rPr>
                <w:sz w:val="20"/>
                <w:szCs w:val="20"/>
              </w:rPr>
              <w:br/>
            </w:r>
            <w:proofErr w:type="spellStart"/>
            <w:r>
              <w:rPr>
                <w:sz w:val="20"/>
                <w:szCs w:val="20"/>
              </w:rPr>
              <w:t>anja.giersiepen</w:t>
            </w:r>
            <w:proofErr w:type="spellEnd"/>
            <w:r>
              <w:rPr>
                <w:sz w:val="20"/>
                <w:szCs w:val="20"/>
              </w:rPr>
              <w:t>@</w:t>
            </w:r>
            <w:r>
              <w:rPr>
                <w:sz w:val="20"/>
                <w:szCs w:val="20"/>
              </w:rPr>
              <w:br/>
              <w:t>toto.com</w:t>
            </w:r>
          </w:p>
          <w:p w:rsidR="00833633" w:rsidRDefault="00000000">
            <w:pPr>
              <w:rPr>
                <w:sz w:val="20"/>
                <w:szCs w:val="20"/>
              </w:rPr>
            </w:pPr>
            <w:r>
              <w:rPr>
                <w:sz w:val="20"/>
                <w:szCs w:val="20"/>
              </w:rPr>
              <w:t>TOTO im Internet:</w:t>
            </w:r>
            <w:r>
              <w:rPr>
                <w:sz w:val="20"/>
                <w:szCs w:val="20"/>
              </w:rPr>
              <w:br/>
            </w:r>
            <w:hyperlink r:id="rId7">
              <w:r>
                <w:rPr>
                  <w:rStyle w:val="Hyperlink"/>
                  <w:color w:val="000000"/>
                  <w:sz w:val="20"/>
                  <w:szCs w:val="20"/>
                </w:rPr>
                <w:t>eu.toto.com/de</w:t>
              </w:r>
            </w:hyperlink>
          </w:p>
        </w:tc>
      </w:tr>
    </w:tbl>
    <w:p w:rsidR="00833633" w:rsidRDefault="00000000">
      <w:r>
        <w:br w:type="page"/>
      </w:r>
    </w:p>
    <w:p w:rsidR="00833633" w:rsidRDefault="00000000">
      <w:pPr>
        <w:rPr>
          <w:sz w:val="17"/>
          <w:szCs w:val="17"/>
        </w:rPr>
      </w:pPr>
      <w:r>
        <w:rPr>
          <w:b/>
          <w:sz w:val="17"/>
          <w:szCs w:val="17"/>
        </w:rPr>
        <w:lastRenderedPageBreak/>
        <w:t>1</w:t>
      </w:r>
      <w:r>
        <w:rPr>
          <w:sz w:val="17"/>
          <w:szCs w:val="17"/>
        </w:rPr>
        <w:t xml:space="preserve"> Die von Henning Senger, Inhaber der Senger Gebäudetechnik GmbH &amp; Co. KG, gestalteten Sanitärcontainer erfüllen alle Ansprüche der VIPs auf exklusiven Veranstaltungen. Der Clou: Ein darin integriertes TOTO WASHLET für größtmögliche Hygiene und Wohlbefinden der anspruchsvollen Gäste. Foto: TOTO</w:t>
      </w:r>
      <w:r>
        <w:rPr>
          <w:sz w:val="17"/>
          <w:szCs w:val="17"/>
        </w:rPr>
        <w:br/>
      </w:r>
    </w:p>
    <w:p w:rsidR="00833633" w:rsidRDefault="00000000">
      <w:pPr>
        <w:rPr>
          <w:sz w:val="17"/>
          <w:szCs w:val="17"/>
        </w:rPr>
      </w:pPr>
      <w:r>
        <w:rPr>
          <w:b/>
          <w:sz w:val="17"/>
          <w:szCs w:val="17"/>
        </w:rPr>
        <w:t>2</w:t>
      </w:r>
      <w:r>
        <w:rPr>
          <w:sz w:val="17"/>
          <w:szCs w:val="17"/>
        </w:rPr>
        <w:t xml:space="preserve"> Bereits der Eingang eines der vier hochwertigen, mobilen Sanitärcontainer, die unter anderem beim prestigeträchtigen CHIO-Pferdesportturnier in Aachen zum Einsatz kommen, zeigt, dass moderne Eventinfrastruktur heute auch hohe Ansprüche an das Besuchererlebnis erfüllt. Foto: TOTO</w:t>
      </w:r>
      <w:r>
        <w:rPr>
          <w:sz w:val="17"/>
          <w:szCs w:val="17"/>
        </w:rPr>
        <w:br/>
      </w:r>
    </w:p>
    <w:p w:rsidR="00833633" w:rsidRDefault="00000000">
      <w:pPr>
        <w:rPr>
          <w:sz w:val="17"/>
          <w:szCs w:val="17"/>
        </w:rPr>
      </w:pPr>
      <w:r>
        <w:rPr>
          <w:b/>
          <w:sz w:val="17"/>
          <w:szCs w:val="17"/>
        </w:rPr>
        <w:t>3</w:t>
      </w:r>
      <w:r>
        <w:rPr>
          <w:sz w:val="17"/>
          <w:szCs w:val="17"/>
        </w:rPr>
        <w:t xml:space="preserve"> Der CHIO Aachen ist das weltweit bedeutendste Turnier im Pferdesport und zieht jedes Jahr im Sommer Fans aus aller Welt an. Außerdem machen Gelände, Flair und VIP-Hospitality das Event zum besonderen Erlebnis. Foto: TOTO</w:t>
      </w:r>
      <w:r>
        <w:rPr>
          <w:sz w:val="17"/>
          <w:szCs w:val="17"/>
        </w:rPr>
        <w:br/>
      </w:r>
    </w:p>
    <w:p w:rsidR="00833633" w:rsidRDefault="00000000">
      <w:pPr>
        <w:rPr>
          <w:sz w:val="17"/>
          <w:szCs w:val="17"/>
        </w:rPr>
      </w:pPr>
      <w:r>
        <w:rPr>
          <w:b/>
          <w:sz w:val="17"/>
          <w:szCs w:val="17"/>
        </w:rPr>
        <w:t>4</w:t>
      </w:r>
      <w:r>
        <w:rPr>
          <w:sz w:val="17"/>
          <w:szCs w:val="17"/>
        </w:rPr>
        <w:t xml:space="preserve"> Sportliche Höchstleistungen, internationales Flair und ein einzigartiges Turniergelände: Der CHIO Aachen zählt zu den prestigeträchtigsten Events im Reitsportkalender und begeistert Jahr für Jahr ein weltweites Publikum.</w:t>
      </w:r>
      <w:r>
        <w:rPr>
          <w:sz w:val="17"/>
          <w:szCs w:val="17"/>
        </w:rPr>
        <w:br/>
        <w:t>Foto: TOTO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833633">
        <w:tc>
          <w:tcPr>
            <w:tcW w:w="2444" w:type="pct"/>
            <w:tcBorders>
              <w:top w:val="nil"/>
              <w:left w:val="nil"/>
              <w:bottom w:val="nil"/>
              <w:right w:val="nil"/>
            </w:tcBorders>
            <w:shd w:val="clear" w:color="auto" w:fill="auto"/>
            <w:tcMar>
              <w:top w:w="0" w:type="dxa"/>
              <w:left w:w="0" w:type="dxa"/>
              <w:bottom w:w="0" w:type="dxa"/>
              <w:right w:w="0" w:type="dxa"/>
            </w:tcMar>
          </w:tcPr>
          <w:p w:rsidR="00833633" w:rsidRDefault="00000000">
            <w:pPr>
              <w:keepNext/>
              <w:keepLines/>
              <w:rPr>
                <w:sz w:val="14"/>
                <w:szCs w:val="14"/>
              </w:rPr>
            </w:pPr>
            <w:r>
              <w:rPr>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833633" w:rsidRDefault="00000000">
            <w:pPr>
              <w:keepNext/>
              <w:keepLines/>
              <w:rPr>
                <w:sz w:val="14"/>
                <w:szCs w:val="14"/>
              </w:rPr>
            </w:pPr>
            <w:r>
              <w:rPr>
                <w:sz w:val="14"/>
                <w:szCs w:val="14"/>
              </w:rPr>
              <w:t>2.</w:t>
            </w:r>
          </w:p>
        </w:tc>
      </w:tr>
      <w:tr w:rsidR="00833633">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833633" w:rsidRDefault="00000000">
            <w:pPr>
              <w:keepNext/>
              <w:keepLines/>
              <w:rPr>
                <w:sz w:val="14"/>
                <w:szCs w:val="14"/>
              </w:rPr>
            </w:pPr>
            <w:r>
              <w:rPr>
                <w:noProof/>
                <w:sz w:val="14"/>
                <w:szCs w:val="14"/>
              </w:rPr>
              <w:drawing>
                <wp:inline distT="0" distB="0" distL="0" distR="0">
                  <wp:extent cx="3023235"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8"/>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833633" w:rsidRDefault="00000000">
            <w:pPr>
              <w:keepNext/>
              <w:keepLines/>
              <w:rPr>
                <w:sz w:val="14"/>
                <w:szCs w:val="14"/>
              </w:rPr>
            </w:pPr>
            <w:r>
              <w:rPr>
                <w:noProof/>
                <w:sz w:val="14"/>
                <w:szCs w:val="14"/>
              </w:rPr>
              <w:drawing>
                <wp:inline distT="0" distB="0" distL="0" distR="0">
                  <wp:extent cx="3023235"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9"/>
                          <a:srcRect/>
                          <a:stretch>
                            <a:fillRect/>
                          </a:stretch>
                        </pic:blipFill>
                        <pic:spPr>
                          <a:xfrm>
                            <a:off x="0" y="0"/>
                            <a:ext cx="3023235" cy="2014220"/>
                          </a:xfrm>
                          <a:prstGeom prst="rect">
                            <a:avLst/>
                          </a:prstGeom>
                        </pic:spPr>
                      </pic:pic>
                    </a:graphicData>
                  </a:graphic>
                </wp:inline>
              </w:drawing>
            </w:r>
          </w:p>
        </w:tc>
      </w:tr>
      <w:tr w:rsidR="00833633">
        <w:tc>
          <w:tcPr>
            <w:tcW w:w="2444"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r>
      <w:tr w:rsidR="00833633">
        <w:tc>
          <w:tcPr>
            <w:tcW w:w="2444" w:type="pct"/>
            <w:tcBorders>
              <w:top w:val="nil"/>
              <w:left w:val="nil"/>
              <w:bottom w:val="nil"/>
              <w:right w:val="nil"/>
            </w:tcBorders>
            <w:shd w:val="clear" w:color="auto" w:fill="auto"/>
            <w:tcMar>
              <w:top w:w="0" w:type="dxa"/>
              <w:left w:w="0" w:type="dxa"/>
              <w:bottom w:w="0" w:type="dxa"/>
              <w:right w:w="0" w:type="dxa"/>
            </w:tcMar>
          </w:tcPr>
          <w:p w:rsidR="00833633" w:rsidRDefault="00000000">
            <w:pPr>
              <w:keepNext/>
              <w:keepLines/>
              <w:rPr>
                <w:sz w:val="14"/>
                <w:szCs w:val="14"/>
              </w:rPr>
            </w:pPr>
            <w:r>
              <w:rPr>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833633" w:rsidRDefault="00000000">
            <w:pPr>
              <w:keepNext/>
              <w:keepLines/>
              <w:rPr>
                <w:sz w:val="14"/>
                <w:szCs w:val="14"/>
              </w:rPr>
            </w:pPr>
            <w:r>
              <w:rPr>
                <w:sz w:val="14"/>
                <w:szCs w:val="14"/>
              </w:rPr>
              <w:t>4.</w:t>
            </w:r>
          </w:p>
        </w:tc>
      </w:tr>
      <w:tr w:rsidR="00833633">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833633" w:rsidRDefault="00000000">
            <w:pPr>
              <w:keepNext/>
              <w:keepLines/>
              <w:rPr>
                <w:sz w:val="14"/>
                <w:szCs w:val="14"/>
              </w:rPr>
            </w:pPr>
            <w:r>
              <w:rPr>
                <w:noProof/>
                <w:sz w:val="14"/>
                <w:szCs w:val="14"/>
              </w:rPr>
              <w:drawing>
                <wp:inline distT="0" distB="0" distL="0" distR="0">
                  <wp:extent cx="3023235"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10"/>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833633" w:rsidRDefault="00000000">
            <w:pPr>
              <w:keepNext/>
              <w:keepLines/>
              <w:rPr>
                <w:sz w:val="14"/>
                <w:szCs w:val="14"/>
              </w:rPr>
            </w:pPr>
            <w:r>
              <w:rPr>
                <w:noProof/>
                <w:sz w:val="14"/>
                <w:szCs w:val="14"/>
              </w:rPr>
              <w:drawing>
                <wp:inline distT="0" distB="0" distL="0" distR="0">
                  <wp:extent cx="3020060"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1"/>
                          <a:srcRect/>
                          <a:stretch>
                            <a:fillRect/>
                          </a:stretch>
                        </pic:blipFill>
                        <pic:spPr>
                          <a:xfrm>
                            <a:off x="0" y="0"/>
                            <a:ext cx="3020060" cy="2014220"/>
                          </a:xfrm>
                          <a:prstGeom prst="rect">
                            <a:avLst/>
                          </a:prstGeom>
                        </pic:spPr>
                      </pic:pic>
                    </a:graphicData>
                  </a:graphic>
                </wp:inline>
              </w:drawing>
            </w:r>
          </w:p>
        </w:tc>
      </w:tr>
    </w:tbl>
    <w:p w:rsidR="00833633" w:rsidRDefault="00000000">
      <w:r>
        <w:br w:type="page"/>
      </w:r>
    </w:p>
    <w:p w:rsidR="00833633" w:rsidRDefault="00000000">
      <w:pPr>
        <w:rPr>
          <w:sz w:val="17"/>
          <w:szCs w:val="17"/>
        </w:rPr>
      </w:pPr>
      <w:r>
        <w:rPr>
          <w:b/>
          <w:sz w:val="17"/>
          <w:szCs w:val="17"/>
        </w:rPr>
        <w:lastRenderedPageBreak/>
        <w:t>5</w:t>
      </w:r>
      <w:r>
        <w:rPr>
          <w:sz w:val="17"/>
          <w:szCs w:val="17"/>
        </w:rPr>
        <w:t xml:space="preserve"> Henning Senger hat erkannt, dass auf VIP-Events der Bedarf besteht, anspruchsvolle, mobile Sanitärbereiche anzubieten. Eines der Kernprodukte darin ist ein WASHLET von TOTO. Foto: TOTO</w:t>
      </w:r>
      <w:r>
        <w:rPr>
          <w:sz w:val="17"/>
          <w:szCs w:val="17"/>
        </w:rPr>
        <w:br/>
      </w:r>
    </w:p>
    <w:p w:rsidR="00833633" w:rsidRDefault="00000000">
      <w:pPr>
        <w:rPr>
          <w:sz w:val="17"/>
          <w:szCs w:val="17"/>
        </w:rPr>
      </w:pPr>
      <w:r>
        <w:rPr>
          <w:b/>
          <w:sz w:val="17"/>
          <w:szCs w:val="17"/>
        </w:rPr>
        <w:t>6</w:t>
      </w:r>
      <w:r>
        <w:rPr>
          <w:sz w:val="17"/>
          <w:szCs w:val="17"/>
        </w:rPr>
        <w:t xml:space="preserve"> Was Henning Senger beim CHIO für VIP-Gäste bereitstellt, hat mit klassischen, mobilen WCs wenig gemein – dazu gehören auch die eleganten Waschtische von TOTO mit ihrem stilvollen Design. Foto: TOTO</w:t>
      </w:r>
      <w:r>
        <w:rPr>
          <w:sz w:val="17"/>
          <w:szCs w:val="17"/>
        </w:rPr>
        <w:br/>
      </w:r>
    </w:p>
    <w:p w:rsidR="00833633" w:rsidRDefault="00000000">
      <w:pPr>
        <w:rPr>
          <w:sz w:val="17"/>
          <w:szCs w:val="17"/>
        </w:rPr>
      </w:pPr>
      <w:r>
        <w:rPr>
          <w:b/>
          <w:sz w:val="17"/>
          <w:szCs w:val="17"/>
        </w:rPr>
        <w:t>7</w:t>
      </w:r>
      <w:r>
        <w:rPr>
          <w:sz w:val="17"/>
          <w:szCs w:val="17"/>
        </w:rPr>
        <w:t xml:space="preserve"> Ein helles, freundliches Ambiente bestimmt den Gesamteindruck der mobilen VIP-Sanitärcontainer. Foto: TOTO</w:t>
      </w:r>
      <w:r>
        <w:rPr>
          <w:sz w:val="17"/>
          <w:szCs w:val="17"/>
        </w:rPr>
        <w:br/>
      </w:r>
    </w:p>
    <w:p w:rsidR="00833633" w:rsidRDefault="00000000">
      <w:pPr>
        <w:rPr>
          <w:sz w:val="17"/>
          <w:szCs w:val="17"/>
        </w:rPr>
      </w:pPr>
      <w:r>
        <w:rPr>
          <w:b/>
          <w:sz w:val="17"/>
          <w:szCs w:val="17"/>
        </w:rPr>
        <w:t>8</w:t>
      </w:r>
      <w:r>
        <w:rPr>
          <w:sz w:val="17"/>
          <w:szCs w:val="17"/>
        </w:rPr>
        <w:t xml:space="preserve"> Stilvoll aufgereiht: Die mobilen VIP-WC-Container sind unter anderem mit hochwertigen WCs von TOTO ausgestattet – stilvoll, funktional und komfortabel. Foto: TOTO</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833633">
        <w:tc>
          <w:tcPr>
            <w:tcW w:w="2444" w:type="pct"/>
            <w:tcBorders>
              <w:top w:val="nil"/>
              <w:left w:val="nil"/>
              <w:bottom w:val="nil"/>
              <w:right w:val="nil"/>
            </w:tcBorders>
            <w:shd w:val="clear" w:color="auto" w:fill="auto"/>
            <w:tcMar>
              <w:top w:w="0" w:type="dxa"/>
              <w:left w:w="0" w:type="dxa"/>
              <w:bottom w:w="0" w:type="dxa"/>
              <w:right w:w="0" w:type="dxa"/>
            </w:tcMar>
          </w:tcPr>
          <w:p w:rsidR="00833633" w:rsidRDefault="00000000">
            <w:pPr>
              <w:keepNext/>
              <w:keepLines/>
              <w:rPr>
                <w:sz w:val="14"/>
                <w:szCs w:val="14"/>
              </w:rPr>
            </w:pPr>
            <w:r>
              <w:rPr>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833633" w:rsidRDefault="00000000">
            <w:pPr>
              <w:keepNext/>
              <w:keepLines/>
              <w:rPr>
                <w:sz w:val="14"/>
                <w:szCs w:val="14"/>
              </w:rPr>
            </w:pPr>
            <w:r>
              <w:rPr>
                <w:sz w:val="14"/>
                <w:szCs w:val="14"/>
              </w:rPr>
              <w:t>6.</w:t>
            </w:r>
          </w:p>
        </w:tc>
      </w:tr>
      <w:tr w:rsidR="00833633">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833633" w:rsidRDefault="00000000">
            <w:pPr>
              <w:keepNext/>
              <w:keepLines/>
              <w:rPr>
                <w:sz w:val="14"/>
                <w:szCs w:val="14"/>
              </w:rPr>
            </w:pPr>
            <w:r>
              <w:rPr>
                <w:noProof/>
                <w:sz w:val="14"/>
                <w:szCs w:val="14"/>
              </w:rPr>
              <w:drawing>
                <wp:inline distT="0" distB="0" distL="0" distR="0">
                  <wp:extent cx="3023235"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2"/>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833633" w:rsidRDefault="00000000">
            <w:pPr>
              <w:keepNext/>
              <w:keepLines/>
              <w:rPr>
                <w:sz w:val="14"/>
                <w:szCs w:val="14"/>
              </w:rPr>
            </w:pPr>
            <w:r>
              <w:rPr>
                <w:noProof/>
                <w:sz w:val="14"/>
                <w:szCs w:val="14"/>
              </w:rPr>
              <w:drawing>
                <wp:inline distT="0" distB="0" distL="0" distR="0">
                  <wp:extent cx="3023235"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3"/>
                          <a:srcRect/>
                          <a:stretch>
                            <a:fillRect/>
                          </a:stretch>
                        </pic:blipFill>
                        <pic:spPr>
                          <a:xfrm>
                            <a:off x="0" y="0"/>
                            <a:ext cx="3023235" cy="2014220"/>
                          </a:xfrm>
                          <a:prstGeom prst="rect">
                            <a:avLst/>
                          </a:prstGeom>
                        </pic:spPr>
                      </pic:pic>
                    </a:graphicData>
                  </a:graphic>
                </wp:inline>
              </w:drawing>
            </w:r>
          </w:p>
        </w:tc>
      </w:tr>
      <w:tr w:rsidR="00833633">
        <w:tc>
          <w:tcPr>
            <w:tcW w:w="2444"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r>
      <w:tr w:rsidR="00833633">
        <w:tc>
          <w:tcPr>
            <w:tcW w:w="2444" w:type="pct"/>
            <w:tcBorders>
              <w:top w:val="nil"/>
              <w:left w:val="nil"/>
              <w:bottom w:val="nil"/>
              <w:right w:val="nil"/>
            </w:tcBorders>
            <w:shd w:val="clear" w:color="auto" w:fill="auto"/>
            <w:tcMar>
              <w:top w:w="0" w:type="dxa"/>
              <w:left w:w="0" w:type="dxa"/>
              <w:bottom w:w="0" w:type="dxa"/>
              <w:right w:w="0" w:type="dxa"/>
            </w:tcMar>
          </w:tcPr>
          <w:p w:rsidR="00833633" w:rsidRDefault="00000000">
            <w:pPr>
              <w:keepNext/>
              <w:keepLines/>
              <w:rPr>
                <w:sz w:val="14"/>
                <w:szCs w:val="14"/>
              </w:rPr>
            </w:pPr>
            <w:r>
              <w:rPr>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833633" w:rsidRDefault="00000000">
            <w:pPr>
              <w:keepNext/>
              <w:keepLines/>
              <w:rPr>
                <w:sz w:val="14"/>
                <w:szCs w:val="14"/>
              </w:rPr>
            </w:pPr>
            <w:r>
              <w:rPr>
                <w:sz w:val="14"/>
                <w:szCs w:val="14"/>
              </w:rPr>
              <w:t>8.</w:t>
            </w:r>
          </w:p>
        </w:tc>
      </w:tr>
      <w:tr w:rsidR="00833633">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833633" w:rsidRDefault="00000000">
            <w:pPr>
              <w:keepNext/>
              <w:keepLines/>
              <w:rPr>
                <w:sz w:val="14"/>
                <w:szCs w:val="14"/>
              </w:rPr>
            </w:pPr>
            <w:r>
              <w:rPr>
                <w:noProof/>
                <w:sz w:val="14"/>
                <w:szCs w:val="14"/>
              </w:rPr>
              <w:drawing>
                <wp:inline distT="0" distB="0" distL="0" distR="0">
                  <wp:extent cx="3023235"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4"/>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833633" w:rsidRDefault="00000000">
            <w:pPr>
              <w:keepNext/>
              <w:keepLines/>
              <w:rPr>
                <w:sz w:val="14"/>
                <w:szCs w:val="14"/>
              </w:rPr>
            </w:pPr>
            <w:r>
              <w:rPr>
                <w:noProof/>
                <w:sz w:val="14"/>
                <w:szCs w:val="14"/>
              </w:rPr>
              <w:drawing>
                <wp:inline distT="0" distB="0" distL="0" distR="0">
                  <wp:extent cx="3023235"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15"/>
                          <a:srcRect/>
                          <a:stretch>
                            <a:fillRect/>
                          </a:stretch>
                        </pic:blipFill>
                        <pic:spPr>
                          <a:xfrm>
                            <a:off x="0" y="0"/>
                            <a:ext cx="3023235" cy="2014220"/>
                          </a:xfrm>
                          <a:prstGeom prst="rect">
                            <a:avLst/>
                          </a:prstGeom>
                        </pic:spPr>
                      </pic:pic>
                    </a:graphicData>
                  </a:graphic>
                </wp:inline>
              </w:drawing>
            </w:r>
          </w:p>
        </w:tc>
      </w:tr>
    </w:tbl>
    <w:p w:rsidR="00833633" w:rsidRDefault="00000000">
      <w:r>
        <w:br w:type="page"/>
      </w:r>
    </w:p>
    <w:p w:rsidR="00833633" w:rsidRDefault="00000000">
      <w:pPr>
        <w:rPr>
          <w:sz w:val="17"/>
          <w:szCs w:val="17"/>
        </w:rPr>
      </w:pPr>
      <w:r>
        <w:rPr>
          <w:b/>
          <w:sz w:val="17"/>
          <w:szCs w:val="17"/>
        </w:rPr>
        <w:lastRenderedPageBreak/>
        <w:t>9</w:t>
      </w:r>
      <w:r>
        <w:rPr>
          <w:sz w:val="17"/>
          <w:szCs w:val="17"/>
        </w:rPr>
        <w:t xml:space="preserve"> Ein Blick in den schlicht und hochwertig gestalteten Wartebereich der Damentoilette – bei Betrieb der Container wird dieser Bereich gut frequentiert sein. Foto: TOTO</w:t>
      </w:r>
      <w:r>
        <w:rPr>
          <w:sz w:val="17"/>
          <w:szCs w:val="17"/>
        </w:rPr>
        <w:br/>
      </w:r>
    </w:p>
    <w:p w:rsidR="00833633" w:rsidRDefault="00000000">
      <w:pPr>
        <w:rPr>
          <w:sz w:val="17"/>
          <w:szCs w:val="17"/>
        </w:rPr>
      </w:pPr>
      <w:r>
        <w:rPr>
          <w:b/>
          <w:sz w:val="17"/>
          <w:szCs w:val="17"/>
        </w:rPr>
        <w:t>10</w:t>
      </w:r>
      <w:r>
        <w:rPr>
          <w:sz w:val="17"/>
          <w:szCs w:val="17"/>
        </w:rPr>
        <w:t xml:space="preserve"> Komfort per Knopfdruck: Die Fernbedienung des TOTO WASHLET ermöglicht individuelle Einstellungen – auch in den exklusiven mobilen VIP-WC-Containern. Foto: TOTO</w:t>
      </w:r>
      <w:r>
        <w:rPr>
          <w:sz w:val="17"/>
          <w:szCs w:val="17"/>
        </w:rPr>
        <w:br/>
      </w:r>
    </w:p>
    <w:p w:rsidR="00833633" w:rsidRDefault="00000000">
      <w:pPr>
        <w:rPr>
          <w:sz w:val="17"/>
          <w:szCs w:val="17"/>
        </w:rPr>
      </w:pPr>
      <w:r>
        <w:rPr>
          <w:b/>
          <w:sz w:val="17"/>
          <w:szCs w:val="17"/>
        </w:rPr>
        <w:t>11</w:t>
      </w:r>
      <w:r>
        <w:rPr>
          <w:sz w:val="17"/>
          <w:szCs w:val="17"/>
        </w:rPr>
        <w:t xml:space="preserve"> Alexa und Henning Senger verstehen sich als Experten für mobile Luxustoiletten. Sie haben damit ein spannendes Geschäftsfeld entdeckt und ausgebaut. Ein TOTO WASHLET gehört laut Henning Sänger zum Standard der exklusiven VIP-Container. Foto: Senger Gebäudetechnik GmbH &amp; Co. KG</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833633">
        <w:tc>
          <w:tcPr>
            <w:tcW w:w="2444" w:type="pct"/>
            <w:tcBorders>
              <w:top w:val="nil"/>
              <w:left w:val="nil"/>
              <w:bottom w:val="nil"/>
              <w:right w:val="nil"/>
            </w:tcBorders>
            <w:shd w:val="clear" w:color="auto" w:fill="auto"/>
            <w:tcMar>
              <w:top w:w="0" w:type="dxa"/>
              <w:left w:w="0" w:type="dxa"/>
              <w:bottom w:w="0" w:type="dxa"/>
              <w:right w:w="0" w:type="dxa"/>
            </w:tcMar>
          </w:tcPr>
          <w:p w:rsidR="00833633" w:rsidRDefault="00000000">
            <w:pPr>
              <w:keepNext/>
              <w:keepLines/>
              <w:rPr>
                <w:sz w:val="14"/>
                <w:szCs w:val="14"/>
              </w:rPr>
            </w:pPr>
            <w:r>
              <w:rPr>
                <w:sz w:val="14"/>
                <w:szCs w:val="14"/>
              </w:rPr>
              <w:t>9.</w:t>
            </w:r>
          </w:p>
        </w:tc>
        <w:tc>
          <w:tcPr>
            <w:tcW w:w="112"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833633" w:rsidRDefault="00000000">
            <w:pPr>
              <w:keepNext/>
              <w:keepLines/>
              <w:rPr>
                <w:sz w:val="14"/>
                <w:szCs w:val="14"/>
              </w:rPr>
            </w:pPr>
            <w:r>
              <w:rPr>
                <w:sz w:val="14"/>
                <w:szCs w:val="14"/>
              </w:rPr>
              <w:t>10.</w:t>
            </w:r>
          </w:p>
        </w:tc>
      </w:tr>
      <w:tr w:rsidR="00833633">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833633" w:rsidRDefault="00000000">
            <w:pPr>
              <w:keepNext/>
              <w:keepLines/>
              <w:rPr>
                <w:sz w:val="14"/>
                <w:szCs w:val="14"/>
              </w:rPr>
            </w:pPr>
            <w:r>
              <w:rPr>
                <w:noProof/>
                <w:sz w:val="14"/>
                <w:szCs w:val="14"/>
              </w:rPr>
              <w:drawing>
                <wp:inline distT="0" distB="0" distL="0" distR="0">
                  <wp:extent cx="3023235"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16"/>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833633" w:rsidRDefault="00000000">
            <w:pPr>
              <w:keepNext/>
              <w:keepLines/>
              <w:rPr>
                <w:sz w:val="14"/>
                <w:szCs w:val="14"/>
              </w:rPr>
            </w:pPr>
            <w:r>
              <w:rPr>
                <w:noProof/>
                <w:sz w:val="14"/>
                <w:szCs w:val="14"/>
              </w:rPr>
              <w:drawing>
                <wp:inline distT="0" distB="0" distL="0" distR="0">
                  <wp:extent cx="3023235"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r:embed="rId17"/>
                          <a:srcRect/>
                          <a:stretch>
                            <a:fillRect/>
                          </a:stretch>
                        </pic:blipFill>
                        <pic:spPr>
                          <a:xfrm>
                            <a:off x="0" y="0"/>
                            <a:ext cx="3023235" cy="2014220"/>
                          </a:xfrm>
                          <a:prstGeom prst="rect">
                            <a:avLst/>
                          </a:prstGeom>
                        </pic:spPr>
                      </pic:pic>
                    </a:graphicData>
                  </a:graphic>
                </wp:inline>
              </w:drawing>
            </w:r>
          </w:p>
        </w:tc>
      </w:tr>
      <w:tr w:rsidR="00833633">
        <w:tc>
          <w:tcPr>
            <w:tcW w:w="2444"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r>
      <w:tr w:rsidR="00833633">
        <w:tc>
          <w:tcPr>
            <w:tcW w:w="2444" w:type="pct"/>
            <w:tcBorders>
              <w:top w:val="nil"/>
              <w:left w:val="nil"/>
              <w:bottom w:val="nil"/>
              <w:right w:val="nil"/>
            </w:tcBorders>
            <w:shd w:val="clear" w:color="auto" w:fill="auto"/>
            <w:tcMar>
              <w:top w:w="0" w:type="dxa"/>
              <w:left w:w="0" w:type="dxa"/>
              <w:bottom w:w="0" w:type="dxa"/>
              <w:right w:w="0" w:type="dxa"/>
            </w:tcMar>
          </w:tcPr>
          <w:p w:rsidR="00833633" w:rsidRDefault="00000000">
            <w:pPr>
              <w:keepNext/>
              <w:keepLines/>
              <w:rPr>
                <w:sz w:val="14"/>
                <w:szCs w:val="14"/>
              </w:rPr>
            </w:pPr>
            <w:r>
              <w:rPr>
                <w:sz w:val="14"/>
                <w:szCs w:val="14"/>
              </w:rPr>
              <w:t>11.</w:t>
            </w:r>
          </w:p>
        </w:tc>
        <w:tc>
          <w:tcPr>
            <w:tcW w:w="112"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4"/>
                <w:szCs w:val="14"/>
              </w:rPr>
            </w:pPr>
          </w:p>
        </w:tc>
      </w:tr>
      <w:tr w:rsidR="00833633">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rsidR="00833633" w:rsidRDefault="00000000">
            <w:pPr>
              <w:keepNext/>
              <w:keepLines/>
              <w:rPr>
                <w:sz w:val="14"/>
                <w:szCs w:val="14"/>
              </w:rPr>
            </w:pPr>
            <w:r>
              <w:rPr>
                <w:noProof/>
                <w:sz w:val="14"/>
                <w:szCs w:val="14"/>
              </w:rPr>
              <w:drawing>
                <wp:inline distT="0" distB="0" distL="0" distR="0">
                  <wp:extent cx="3023235" cy="201422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dpi="0">
                          <a:blip r:embed="rId18"/>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7"/>
                <w:szCs w:val="17"/>
              </w:rPr>
            </w:pPr>
          </w:p>
        </w:tc>
        <w:tc>
          <w:tcPr>
            <w:tcW w:w="2444" w:type="pct"/>
            <w:tcBorders>
              <w:top w:val="nil"/>
              <w:left w:val="nil"/>
              <w:bottom w:val="nil"/>
              <w:right w:val="nil"/>
            </w:tcBorders>
            <w:shd w:val="clear" w:color="auto" w:fill="auto"/>
            <w:tcMar>
              <w:top w:w="0" w:type="dxa"/>
              <w:left w:w="0" w:type="dxa"/>
              <w:bottom w:w="0" w:type="dxa"/>
              <w:right w:w="0" w:type="dxa"/>
            </w:tcMar>
          </w:tcPr>
          <w:p w:rsidR="00833633" w:rsidRDefault="00833633">
            <w:pPr>
              <w:keepNext/>
              <w:keepLines/>
              <w:rPr>
                <w:sz w:val="17"/>
                <w:szCs w:val="17"/>
              </w:rPr>
            </w:pPr>
          </w:p>
        </w:tc>
      </w:tr>
    </w:tbl>
    <w:p w:rsidR="00833633" w:rsidRDefault="00000000">
      <w:r>
        <w:br w:type="page"/>
      </w:r>
    </w:p>
    <w:tbl>
      <w:tblPr>
        <w:tblStyle w:val="TabelleEinfach1"/>
        <w:tblW w:w="5000" w:type="pct"/>
        <w:tblLayout w:type="fixed"/>
        <w:tblCellMar>
          <w:left w:w="0" w:type="dxa"/>
          <w:right w:w="227" w:type="dxa"/>
        </w:tblCellMar>
        <w:tblLook w:val="04A0" w:firstRow="1" w:lastRow="0" w:firstColumn="1" w:lastColumn="0" w:noHBand="0" w:noVBand="1"/>
      </w:tblPr>
      <w:tblGrid>
        <w:gridCol w:w="3792"/>
        <w:gridCol w:w="3792"/>
        <w:gridCol w:w="2395"/>
      </w:tblGrid>
      <w:tr w:rsidR="00833633">
        <w:tc>
          <w:tcPr>
            <w:tcW w:w="3800" w:type="pct"/>
            <w:gridSpan w:val="2"/>
            <w:tcBorders>
              <w:top w:val="nil"/>
              <w:left w:val="nil"/>
              <w:bottom w:val="nil"/>
              <w:right w:val="nil"/>
            </w:tcBorders>
            <w:shd w:val="clear" w:color="auto" w:fill="auto"/>
            <w:tcMar>
              <w:top w:w="0" w:type="dxa"/>
              <w:left w:w="0" w:type="dxa"/>
              <w:bottom w:w="0" w:type="dxa"/>
              <w:right w:w="227" w:type="dxa"/>
            </w:tcMar>
          </w:tcPr>
          <w:p w:rsidR="00833633" w:rsidRDefault="00000000">
            <w:pPr>
              <w:spacing w:before="240" w:after="240"/>
              <w:rPr>
                <w:sz w:val="20"/>
                <w:szCs w:val="20"/>
              </w:rPr>
            </w:pPr>
            <w:r>
              <w:rPr>
                <w:b/>
                <w:sz w:val="20"/>
                <w:szCs w:val="20"/>
              </w:rPr>
              <w:lastRenderedPageBreak/>
              <w:t>Über TOTO Europe</w:t>
            </w:r>
          </w:p>
          <w:p w:rsidR="00833633" w:rsidRDefault="00000000">
            <w:pPr>
              <w:spacing w:before="240" w:after="240"/>
              <w:rPr>
                <w:sz w:val="20"/>
                <w:szCs w:val="20"/>
              </w:rPr>
            </w:pPr>
            <w:r>
              <w:rPr>
                <w:sz w:val="20"/>
                <w:szCs w:val="20"/>
              </w:rPr>
              <w:t xml:space="preserve">Bei TOTO, einem der international führenden Sanitärunternehmen mit weltweit 36.000 Mitarbeitenden, steht der Mensch und sein Wohlbefinden im Mittelpunkt. Seit der Gründung 1917 in </w:t>
            </w:r>
            <w:proofErr w:type="spellStart"/>
            <w:r>
              <w:rPr>
                <w:sz w:val="20"/>
                <w:szCs w:val="20"/>
              </w:rPr>
              <w:t>Kitakyushu</w:t>
            </w:r>
            <w:proofErr w:type="spellEnd"/>
            <w:r>
              <w:rPr>
                <w:sz w:val="20"/>
                <w:szCs w:val="20"/>
              </w:rPr>
              <w:t xml:space="preserve">, Japan, entwickelt, produziert und vertreibt TOTO ganzheitliche Badezimmerkonzepte für gehobene Ansprüche – seit 2009 auch in Europa. Das Ziel des Unternehmens ist es, durch Regeneration, Komfort und Hygiene ein neues Lebensgefühl zu schaffen. Einfach in der Handhabung ist die Technik selbst nahezu unsichtbar in das Design integriert. Als Japans führender Komplettbadanbieter präsentiert TOTO innovative Sanitärkeramik, Armaturen und Accessoires und blickt auf über 40 Jahre Erfahrung in der Entwicklung und Herstellung verschiedener WASHLET-Modelle zurück. Weltweit wurden bisher über 60 Millionen Stück davon verkauft. </w:t>
            </w:r>
            <w:r>
              <w:rPr>
                <w:sz w:val="20"/>
                <w:szCs w:val="20"/>
              </w:rPr>
              <w:br/>
              <w:t>TOTO engagiert sich nicht nur intensiv für das menschliche Wohlbefinden, sondern auch für das unseres Planeten. Auf dem Weg zu einem emissionsfreien Unternehmen hat sich TOTO der RE100-Initiative angeschlossen und verfolgt das Ziel, bis 2050 an allen Standorten CO</w:t>
            </w:r>
            <w:r>
              <w:rPr>
                <w:sz w:val="20"/>
                <w:szCs w:val="20"/>
                <w:vertAlign w:val="subscript"/>
              </w:rPr>
              <w:t>2</w:t>
            </w:r>
            <w:r>
              <w:rPr>
                <w:sz w:val="20"/>
                <w:szCs w:val="20"/>
              </w:rPr>
              <w:t xml:space="preserve">-neutral zu werden, vor allem durch die konsequente Nutzung erneuerbarer Energien. Im Einklang mit den Zielen des Pariser Klimaabkommens erhielt TOTO 2021 die Zertifizierung der </w:t>
            </w:r>
            <w:hyperlink r:id="rId19">
              <w:r>
                <w:rPr>
                  <w:rStyle w:val="Hyperlink"/>
                  <w:color w:val="000000"/>
                  <w:sz w:val="20"/>
                  <w:szCs w:val="20"/>
                </w:rPr>
                <w:t xml:space="preserve">Science </w:t>
              </w:r>
              <w:proofErr w:type="spellStart"/>
              <w:r>
                <w:rPr>
                  <w:rStyle w:val="Hyperlink"/>
                  <w:color w:val="000000"/>
                  <w:sz w:val="20"/>
                  <w:szCs w:val="20"/>
                </w:rPr>
                <w:t>Based</w:t>
              </w:r>
              <w:proofErr w:type="spellEnd"/>
              <w:r>
                <w:rPr>
                  <w:rStyle w:val="Hyperlink"/>
                  <w:color w:val="000000"/>
                  <w:sz w:val="20"/>
                  <w:szCs w:val="20"/>
                </w:rPr>
                <w:t xml:space="preserve"> Targets</w:t>
              </w:r>
            </w:hyperlink>
            <w:r>
              <w:rPr>
                <w:sz w:val="20"/>
                <w:szCs w:val="20"/>
              </w:rPr>
              <w:t xml:space="preserve"> Initiative (</w:t>
            </w:r>
            <w:proofErr w:type="spellStart"/>
            <w:r>
              <w:rPr>
                <w:sz w:val="20"/>
                <w:szCs w:val="20"/>
              </w:rPr>
              <w:t>SBTi</w:t>
            </w:r>
            <w:proofErr w:type="spellEnd"/>
            <w:r>
              <w:rPr>
                <w:sz w:val="20"/>
                <w:szCs w:val="20"/>
              </w:rPr>
              <w:t xml:space="preserve">). Darüber hinaus trägt das Unternehmen mit dem Vertrieb und der Entwicklung wassersparender Produkte tagtäglich aktiv zur Ressourcenschonung bei. Bis 2030 soll der Anteil nachhaltiger Produkte im Portfolio zudem auf 83 % steigen, während der Wasserverbrauch durch innovative Technologien erheblich gesenkt wird. Mit diesen Maßnahmen strebt TOTO bis 2050 die vollständige Klimaneutralität an – nachzulesen im </w:t>
            </w:r>
            <w:hyperlink r:id="rId20">
              <w:r>
                <w:rPr>
                  <w:rStyle w:val="Hyperlink"/>
                  <w:color w:val="000000"/>
                  <w:sz w:val="20"/>
                  <w:szCs w:val="20"/>
                </w:rPr>
                <w:t>Integrated Report 2024</w:t>
              </w:r>
            </w:hyperlink>
            <w:r>
              <w:rPr>
                <w:sz w:val="20"/>
                <w:szCs w:val="20"/>
              </w:rPr>
              <w:t>.</w:t>
            </w:r>
          </w:p>
          <w:p w:rsidR="00833633" w:rsidRDefault="00000000">
            <w:pPr>
              <w:spacing w:before="240" w:after="240"/>
              <w:rPr>
                <w:sz w:val="20"/>
                <w:szCs w:val="20"/>
              </w:rPr>
            </w:pPr>
            <w:r>
              <w:rPr>
                <w:sz w:val="20"/>
                <w:szCs w:val="20"/>
              </w:rPr>
              <w:t xml:space="preserve">Mehr über TOTO: </w:t>
            </w:r>
            <w:hyperlink r:id="rId21">
              <w:r>
                <w:rPr>
                  <w:rStyle w:val="Hyperlink"/>
                  <w:color w:val="000000"/>
                  <w:sz w:val="20"/>
                  <w:szCs w:val="20"/>
                </w:rPr>
                <w:t>eu.toto.com/de</w:t>
              </w:r>
            </w:hyperlink>
          </w:p>
          <w:p w:rsidR="00833633" w:rsidRDefault="00000000">
            <w:pPr>
              <w:rPr>
                <w:sz w:val="20"/>
                <w:szCs w:val="20"/>
              </w:rPr>
            </w:pPr>
            <w:r>
              <w:rPr>
                <w:sz w:val="20"/>
                <w:szCs w:val="20"/>
              </w:rPr>
              <w:br/>
            </w:r>
          </w:p>
        </w:tc>
        <w:tc>
          <w:tcPr>
            <w:tcW w:w="1200" w:type="pct"/>
            <w:tcBorders>
              <w:top w:val="nil"/>
              <w:left w:val="nil"/>
              <w:bottom w:val="nil"/>
              <w:right w:val="nil"/>
            </w:tcBorders>
            <w:shd w:val="clear" w:color="auto" w:fill="auto"/>
            <w:tcMar>
              <w:top w:w="0" w:type="dxa"/>
              <w:left w:w="0" w:type="dxa"/>
              <w:bottom w:w="0" w:type="dxa"/>
              <w:right w:w="227" w:type="dxa"/>
            </w:tcMar>
          </w:tcPr>
          <w:p w:rsidR="00833633" w:rsidRDefault="00000000">
            <w:pPr>
              <w:rPr>
                <w:sz w:val="20"/>
                <w:szCs w:val="20"/>
              </w:rPr>
            </w:pPr>
            <w:r>
              <w:rPr>
                <w:sz w:val="20"/>
                <w:szCs w:val="20"/>
              </w:rPr>
              <w:br/>
            </w:r>
          </w:p>
        </w:tc>
      </w:tr>
      <w:tr w:rsidR="00833633">
        <w:trPr>
          <w:gridAfter w:val="1"/>
          <w:wAfter w:w="1728" w:type="dxa"/>
        </w:trPr>
        <w:tc>
          <w:tcPr>
            <w:tcW w:w="2736" w:type="dxa"/>
            <w:tcBorders>
              <w:top w:val="nil"/>
              <w:left w:val="nil"/>
              <w:bottom w:val="nil"/>
              <w:right w:val="nil"/>
            </w:tcBorders>
            <w:shd w:val="clear" w:color="auto" w:fill="auto"/>
            <w:tcMar>
              <w:top w:w="0" w:type="dxa"/>
              <w:left w:w="0" w:type="dxa"/>
              <w:bottom w:w="0" w:type="dxa"/>
              <w:right w:w="227" w:type="dxa"/>
            </w:tcMar>
          </w:tcPr>
          <w:p w:rsidR="00833633" w:rsidRDefault="00833633">
            <w:pPr>
              <w:rPr>
                <w:sz w:val="20"/>
                <w:szCs w:val="20"/>
              </w:rPr>
            </w:pPr>
          </w:p>
        </w:tc>
        <w:tc>
          <w:tcPr>
            <w:tcW w:w="2736" w:type="dxa"/>
            <w:tcBorders>
              <w:top w:val="nil"/>
              <w:left w:val="nil"/>
              <w:bottom w:val="nil"/>
              <w:right w:val="nil"/>
            </w:tcBorders>
            <w:shd w:val="clear" w:color="auto" w:fill="auto"/>
            <w:tcMar>
              <w:top w:w="0" w:type="dxa"/>
              <w:left w:w="0" w:type="dxa"/>
              <w:bottom w:w="0" w:type="dxa"/>
              <w:right w:w="227" w:type="dxa"/>
            </w:tcMar>
          </w:tcPr>
          <w:p w:rsidR="00833633" w:rsidRDefault="00833633">
            <w:pPr>
              <w:rPr>
                <w:sz w:val="20"/>
                <w:szCs w:val="20"/>
              </w:rPr>
            </w:pPr>
          </w:p>
        </w:tc>
      </w:tr>
    </w:tbl>
    <w:p w:rsidR="00833633" w:rsidRDefault="00833633"/>
    <w:sectPr w:rsidR="00833633">
      <w:headerReference w:type="default" r:id="rId22"/>
      <w:footerReference w:type="default" r:id="rId23"/>
      <w:headerReference w:type="first" r:id="rId24"/>
      <w:footerReference w:type="first" r:id="rId25"/>
      <w:pgSz w:w="11906" w:h="16838"/>
      <w:pgMar w:top="1701" w:right="1020" w:bottom="1701" w:left="1134" w:header="850"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1A4A7D" w:rsidRDefault="001A4A7D">
      <w:pPr>
        <w:spacing w:line="240" w:lineRule="auto"/>
      </w:pPr>
      <w:r>
        <w:separator/>
      </w:r>
    </w:p>
  </w:endnote>
  <w:endnote w:type="continuationSeparator" w:id="0">
    <w:p w:rsidR="001A4A7D" w:rsidRDefault="001A4A7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Einfach1"/>
      <w:tblW w:w="5000" w:type="pct"/>
      <w:tblLayout w:type="fixed"/>
      <w:tblLook w:val="04A0" w:firstRow="1" w:lastRow="0" w:firstColumn="1" w:lastColumn="0" w:noHBand="0" w:noVBand="1"/>
    </w:tblPr>
    <w:tblGrid>
      <w:gridCol w:w="9557"/>
      <w:gridCol w:w="195"/>
    </w:tblGrid>
    <w:tr w:rsidR="00833633">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Borders>
              <w:top w:val="nil"/>
              <w:left w:val="nil"/>
              <w:bottom w:val="nil"/>
              <w:right w:val="nil"/>
            </w:tblBorders>
            <w:tblCellMar>
              <w:left w:w="0" w:type="dxa"/>
              <w:right w:w="0" w:type="dxa"/>
            </w:tblCellMar>
            <w:tblLook w:val="04A0" w:firstRow="1" w:lastRow="0" w:firstColumn="1" w:lastColumn="0" w:noHBand="0" w:noVBand="1"/>
          </w:tblPr>
          <w:tblGrid>
            <w:gridCol w:w="35"/>
            <w:gridCol w:w="93"/>
            <w:gridCol w:w="1590"/>
            <w:gridCol w:w="35"/>
            <w:gridCol w:w="93"/>
            <w:gridCol w:w="1590"/>
            <w:gridCol w:w="35"/>
            <w:gridCol w:w="93"/>
            <w:gridCol w:w="2151"/>
            <w:gridCol w:w="35"/>
            <w:gridCol w:w="94"/>
            <w:gridCol w:w="1965"/>
            <w:gridCol w:w="35"/>
            <w:gridCol w:w="94"/>
            <w:gridCol w:w="1591"/>
            <w:gridCol w:w="20"/>
          </w:tblGrid>
          <w:tr w:rsidR="00833633">
            <w:trPr>
              <w:tblCellSpacing w:w="0" w:type="dxa"/>
            </w:trPr>
            <w:tc>
              <w:tcPr>
                <w:tcW w:w="15" w:type="dxa"/>
                <w:tcBorders>
                  <w:left w:val="single" w:sz="6" w:space="0" w:color="000000"/>
                </w:tcBorders>
                <w:shd w:val="clear" w:color="auto" w:fill="FFFFFF"/>
                <w:vAlign w:val="center"/>
                <w:hideMark/>
              </w:tcPr>
              <w:p w:rsidR="00833633"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rsidR="00833633" w:rsidRDefault="00000000">
                <w:pPr>
                  <w:rPr>
                    <w:sz w:val="10"/>
                    <w:szCs w:val="10"/>
                  </w:rPr>
                </w:pPr>
                <w:r>
                  <w:rPr>
                    <w:sz w:val="10"/>
                    <w:szCs w:val="10"/>
                  </w:rPr>
                  <w:t> </w:t>
                </w:r>
              </w:p>
            </w:tc>
            <w:tc>
              <w:tcPr>
                <w:tcW w:w="850" w:type="pct"/>
                <w:vAlign w:val="center"/>
                <w:hideMark/>
              </w:tcPr>
              <w:p w:rsidR="00833633" w:rsidRDefault="00000000">
                <w:pPr>
                  <w:rPr>
                    <w:sz w:val="10"/>
                    <w:szCs w:val="10"/>
                  </w:rPr>
                </w:pPr>
                <w:r>
                  <w:rPr>
                    <w:b/>
                    <w:sz w:val="10"/>
                    <w:szCs w:val="10"/>
                  </w:rPr>
                  <w:t>TOTO Europe GmbH</w:t>
                </w:r>
                <w:r>
                  <w:rPr>
                    <w:b/>
                    <w:sz w:val="10"/>
                    <w:szCs w:val="10"/>
                  </w:rPr>
                  <w:br/>
                </w:r>
                <w:r>
                  <w:rPr>
                    <w:sz w:val="10"/>
                    <w:szCs w:val="10"/>
                  </w:rPr>
                  <w:t>Zollhof 2</w:t>
                </w:r>
                <w:r>
                  <w:rPr>
                    <w:sz w:val="10"/>
                    <w:szCs w:val="10"/>
                  </w:rPr>
                  <w:br/>
                  <w:t>40221 Düsseldorf</w:t>
                </w:r>
                <w:r>
                  <w:rPr>
                    <w:sz w:val="10"/>
                    <w:szCs w:val="10"/>
                  </w:rPr>
                  <w:br/>
                  <w:t>Germany</w:t>
                </w:r>
              </w:p>
            </w:tc>
            <w:tc>
              <w:tcPr>
                <w:tcW w:w="15" w:type="dxa"/>
                <w:tcBorders>
                  <w:left w:val="single" w:sz="6" w:space="0" w:color="000000"/>
                </w:tcBorders>
                <w:shd w:val="clear" w:color="auto" w:fill="FFFFFF"/>
                <w:vAlign w:val="center"/>
                <w:hideMark/>
              </w:tcPr>
              <w:p w:rsidR="00833633"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rsidR="00833633" w:rsidRDefault="00000000">
                <w:pPr>
                  <w:rPr>
                    <w:sz w:val="10"/>
                    <w:szCs w:val="10"/>
                  </w:rPr>
                </w:pPr>
                <w:r>
                  <w:rPr>
                    <w:sz w:val="10"/>
                    <w:szCs w:val="10"/>
                  </w:rPr>
                  <w:t> </w:t>
                </w:r>
              </w:p>
            </w:tc>
            <w:tc>
              <w:tcPr>
                <w:tcW w:w="850" w:type="pct"/>
                <w:vAlign w:val="center"/>
                <w:hideMark/>
              </w:tcPr>
              <w:p w:rsidR="00833633" w:rsidRDefault="00000000">
                <w:pPr>
                  <w:rPr>
                    <w:sz w:val="10"/>
                    <w:szCs w:val="10"/>
                  </w:rPr>
                </w:pPr>
                <w:r>
                  <w:rPr>
                    <w:sz w:val="10"/>
                    <w:szCs w:val="10"/>
                  </w:rPr>
                  <w:t>T +49 (0)211 2 73 08-200</w:t>
                </w:r>
                <w:r>
                  <w:rPr>
                    <w:sz w:val="10"/>
                    <w:szCs w:val="10"/>
                  </w:rPr>
                  <w:br/>
                  <w:t>F +49 (0)211 2 73 08-202</w:t>
                </w:r>
                <w:r>
                  <w:rPr>
                    <w:sz w:val="10"/>
                    <w:szCs w:val="10"/>
                  </w:rPr>
                  <w:br/>
                  <w:t>teu.info@toto.com</w:t>
                </w:r>
                <w:r>
                  <w:rPr>
                    <w:sz w:val="10"/>
                    <w:szCs w:val="10"/>
                  </w:rPr>
                  <w:br/>
                  <w:t>eu.toto.com</w:t>
                </w:r>
              </w:p>
            </w:tc>
            <w:tc>
              <w:tcPr>
                <w:tcW w:w="15" w:type="dxa"/>
                <w:tcBorders>
                  <w:left w:val="single" w:sz="6" w:space="0" w:color="000000"/>
                </w:tcBorders>
                <w:shd w:val="clear" w:color="auto" w:fill="FFFFFF"/>
                <w:vAlign w:val="center"/>
                <w:hideMark/>
              </w:tcPr>
              <w:p w:rsidR="00833633"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rsidR="00833633" w:rsidRDefault="00000000">
                <w:pPr>
                  <w:rPr>
                    <w:sz w:val="10"/>
                    <w:szCs w:val="10"/>
                  </w:rPr>
                </w:pPr>
                <w:r>
                  <w:rPr>
                    <w:sz w:val="10"/>
                    <w:szCs w:val="10"/>
                  </w:rPr>
                  <w:t> </w:t>
                </w:r>
              </w:p>
            </w:tc>
            <w:tc>
              <w:tcPr>
                <w:tcW w:w="1150" w:type="pct"/>
                <w:vAlign w:val="center"/>
                <w:hideMark/>
              </w:tcPr>
              <w:p w:rsidR="00833633" w:rsidRDefault="00000000">
                <w:pPr>
                  <w:rPr>
                    <w:sz w:val="10"/>
                    <w:szCs w:val="10"/>
                  </w:rPr>
                </w:pPr>
                <w:r>
                  <w:rPr>
                    <w:sz w:val="10"/>
                    <w:szCs w:val="10"/>
                  </w:rPr>
                  <w:t>Commerzbank AG Essen</w:t>
                </w:r>
                <w:r>
                  <w:rPr>
                    <w:sz w:val="10"/>
                    <w:szCs w:val="10"/>
                  </w:rPr>
                  <w:br/>
                  <w:t xml:space="preserve">BLZ: 360 400 </w:t>
                </w:r>
                <w:proofErr w:type="gramStart"/>
                <w:r>
                  <w:rPr>
                    <w:sz w:val="10"/>
                    <w:szCs w:val="10"/>
                  </w:rPr>
                  <w:t>39 .</w:t>
                </w:r>
                <w:proofErr w:type="gramEnd"/>
                <w:r>
                  <w:rPr>
                    <w:sz w:val="10"/>
                    <w:szCs w:val="10"/>
                  </w:rPr>
                  <w:t xml:space="preserve"> KTO: 150 6211</w:t>
                </w:r>
                <w:r>
                  <w:rPr>
                    <w:sz w:val="10"/>
                    <w:szCs w:val="10"/>
                  </w:rPr>
                  <w:br/>
                  <w:t>IBAN: DE 32 36040039 0150621100</w:t>
                </w:r>
                <w:r>
                  <w:rPr>
                    <w:sz w:val="10"/>
                    <w:szCs w:val="10"/>
                  </w:rPr>
                  <w:br/>
                  <w:t>BIC: COBADEFF360</w:t>
                </w:r>
              </w:p>
            </w:tc>
            <w:tc>
              <w:tcPr>
                <w:tcW w:w="15" w:type="dxa"/>
                <w:tcBorders>
                  <w:left w:val="single" w:sz="6" w:space="0" w:color="000000"/>
                </w:tcBorders>
                <w:shd w:val="clear" w:color="auto" w:fill="FFFFFF"/>
                <w:vAlign w:val="center"/>
                <w:hideMark/>
              </w:tcPr>
              <w:p w:rsidR="00833633"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rsidR="00833633" w:rsidRDefault="00000000">
                <w:pPr>
                  <w:rPr>
                    <w:sz w:val="10"/>
                    <w:szCs w:val="10"/>
                  </w:rPr>
                </w:pPr>
                <w:r>
                  <w:rPr>
                    <w:sz w:val="10"/>
                    <w:szCs w:val="10"/>
                  </w:rPr>
                  <w:t> </w:t>
                </w:r>
              </w:p>
            </w:tc>
            <w:tc>
              <w:tcPr>
                <w:tcW w:w="1050" w:type="pct"/>
                <w:vAlign w:val="center"/>
                <w:hideMark/>
              </w:tcPr>
              <w:p w:rsidR="00833633" w:rsidRDefault="00000000">
                <w:pPr>
                  <w:rPr>
                    <w:sz w:val="10"/>
                    <w:szCs w:val="10"/>
                  </w:rPr>
                </w:pPr>
                <w:r>
                  <w:rPr>
                    <w:sz w:val="10"/>
                    <w:szCs w:val="10"/>
                  </w:rPr>
                  <w:t xml:space="preserve">AG </w:t>
                </w:r>
                <w:proofErr w:type="gramStart"/>
                <w:r>
                  <w:rPr>
                    <w:sz w:val="10"/>
                    <w:szCs w:val="10"/>
                  </w:rPr>
                  <w:t>Düsseldorf .</w:t>
                </w:r>
                <w:proofErr w:type="gramEnd"/>
                <w:r>
                  <w:rPr>
                    <w:sz w:val="10"/>
                    <w:szCs w:val="10"/>
                  </w:rPr>
                  <w:t xml:space="preserve"> HRB 24827</w:t>
                </w:r>
                <w:r>
                  <w:rPr>
                    <w:sz w:val="10"/>
                    <w:szCs w:val="10"/>
                  </w:rPr>
                  <w:br/>
                  <w:t>Geschäftsführer:</w:t>
                </w:r>
                <w:r>
                  <w:rPr>
                    <w:sz w:val="10"/>
                    <w:szCs w:val="10"/>
                  </w:rPr>
                  <w:br/>
                </w:r>
                <w:proofErr w:type="spellStart"/>
                <w:r>
                  <w:rPr>
                    <w:sz w:val="10"/>
                    <w:szCs w:val="10"/>
                  </w:rPr>
                  <w:t>Tatsuhiko</w:t>
                </w:r>
                <w:proofErr w:type="spellEnd"/>
                <w:r>
                  <w:rPr>
                    <w:sz w:val="10"/>
                    <w:szCs w:val="10"/>
                  </w:rPr>
                  <w:t xml:space="preserve"> </w:t>
                </w:r>
                <w:proofErr w:type="spellStart"/>
                <w:r>
                  <w:rPr>
                    <w:sz w:val="10"/>
                    <w:szCs w:val="10"/>
                  </w:rPr>
                  <w:t>Yasaka</w:t>
                </w:r>
                <w:proofErr w:type="spellEnd"/>
                <w:r>
                  <w:rPr>
                    <w:sz w:val="10"/>
                    <w:szCs w:val="10"/>
                  </w:rPr>
                  <w:br/>
                  <w:t>  </w:t>
                </w:r>
              </w:p>
            </w:tc>
            <w:tc>
              <w:tcPr>
                <w:tcW w:w="15" w:type="dxa"/>
                <w:tcBorders>
                  <w:left w:val="single" w:sz="6" w:space="0" w:color="000000"/>
                </w:tcBorders>
                <w:shd w:val="clear" w:color="auto" w:fill="FFFFFF"/>
                <w:vAlign w:val="center"/>
                <w:hideMark/>
              </w:tcPr>
              <w:p w:rsidR="00833633"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rsidR="00833633" w:rsidRDefault="00000000">
                <w:pPr>
                  <w:rPr>
                    <w:sz w:val="10"/>
                    <w:szCs w:val="10"/>
                  </w:rPr>
                </w:pPr>
                <w:r>
                  <w:rPr>
                    <w:sz w:val="10"/>
                    <w:szCs w:val="10"/>
                  </w:rPr>
                  <w:t> </w:t>
                </w:r>
              </w:p>
            </w:tc>
            <w:tc>
              <w:tcPr>
                <w:tcW w:w="850" w:type="pct"/>
                <w:vAlign w:val="center"/>
                <w:hideMark/>
              </w:tcPr>
              <w:p w:rsidR="00833633" w:rsidRDefault="00000000">
                <w:pPr>
                  <w:rPr>
                    <w:sz w:val="10"/>
                    <w:szCs w:val="10"/>
                  </w:rPr>
                </w:pPr>
                <w:r>
                  <w:rPr>
                    <w:sz w:val="10"/>
                    <w:szCs w:val="10"/>
                  </w:rPr>
                  <w:t>WEEE-Reg.-Nr. DE 88787165</w:t>
                </w:r>
                <w:r>
                  <w:rPr>
                    <w:sz w:val="10"/>
                    <w:szCs w:val="10"/>
                  </w:rPr>
                  <w:br/>
                  <w:t>USTID-NR: DE258501442</w:t>
                </w:r>
                <w:r>
                  <w:rPr>
                    <w:sz w:val="10"/>
                    <w:szCs w:val="10"/>
                  </w:rPr>
                  <w:br/>
                  <w:t>ST-NR: 106/5727/1323</w:t>
                </w:r>
                <w:r>
                  <w:rPr>
                    <w:sz w:val="10"/>
                    <w:szCs w:val="10"/>
                  </w:rPr>
                  <w:br/>
                  <w:t>  </w:t>
                </w:r>
              </w:p>
            </w:tc>
            <w:tc>
              <w:tcPr>
                <w:tcW w:w="28" w:type="dxa"/>
                <w:vAlign w:val="center"/>
                <w:hideMark/>
              </w:tcPr>
              <w:p w:rsidR="00833633" w:rsidRDefault="00000000">
                <w:pPr>
                  <w:rPr>
                    <w:sz w:val="10"/>
                    <w:szCs w:val="10"/>
                  </w:rPr>
                </w:pPr>
                <w:r>
                  <w:rPr>
                    <w:sz w:val="10"/>
                    <w:szCs w:val="10"/>
                  </w:rPr>
                  <w:t> </w:t>
                </w:r>
              </w:p>
            </w:tc>
          </w:tr>
        </w:tbl>
        <w:p w:rsidR="00833633" w:rsidRDefault="00833633">
          <w:pPr>
            <w:rPr>
              <w:sz w:val="10"/>
              <w:szCs w:val="10"/>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rsidR="00833633" w:rsidRDefault="00000000">
          <w:pPr>
            <w:rPr>
              <w:sz w:val="10"/>
              <w:szCs w:val="10"/>
            </w:rPr>
          </w:pPr>
          <w:r>
            <w:rPr>
              <w:sz w:val="10"/>
              <w:szCs w:val="10"/>
            </w:rPr>
            <w:fldChar w:fldCharType="begin"/>
          </w:r>
          <w:r>
            <w:rPr>
              <w:sz w:val="10"/>
              <w:szCs w:val="10"/>
            </w:rPr>
            <w:instrText>PAGE \* ARABIC</w:instrText>
          </w:r>
          <w:r>
            <w:rPr>
              <w:sz w:val="10"/>
              <w:szCs w:val="10"/>
            </w:rPr>
            <w:fldChar w:fldCharType="separate"/>
          </w:r>
          <w:r>
            <w:rPr>
              <w:sz w:val="10"/>
              <w:szCs w:val="10"/>
            </w:rPr>
            <w:t>#</w:t>
          </w:r>
          <w:r>
            <w:rPr>
              <w:sz w:val="10"/>
              <w:szCs w:val="10"/>
            </w:rPr>
            <w:fldChar w:fldCharType="end"/>
          </w:r>
        </w:p>
      </w:tc>
    </w:tr>
  </w:tbl>
  <w:p w:rsidR="00833633" w:rsidRDefault="00833633">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833633">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Borders>
              <w:top w:val="nil"/>
              <w:left w:val="nil"/>
              <w:bottom w:val="nil"/>
              <w:right w:val="nil"/>
            </w:tblBorders>
            <w:tblCellMar>
              <w:left w:w="0" w:type="dxa"/>
              <w:right w:w="0" w:type="dxa"/>
            </w:tblCellMar>
            <w:tblLook w:val="04A0" w:firstRow="1" w:lastRow="0" w:firstColumn="1" w:lastColumn="0" w:noHBand="0" w:noVBand="1"/>
          </w:tblPr>
          <w:tblGrid>
            <w:gridCol w:w="35"/>
            <w:gridCol w:w="93"/>
            <w:gridCol w:w="1590"/>
            <w:gridCol w:w="35"/>
            <w:gridCol w:w="93"/>
            <w:gridCol w:w="1590"/>
            <w:gridCol w:w="35"/>
            <w:gridCol w:w="93"/>
            <w:gridCol w:w="2151"/>
            <w:gridCol w:w="35"/>
            <w:gridCol w:w="94"/>
            <w:gridCol w:w="1965"/>
            <w:gridCol w:w="35"/>
            <w:gridCol w:w="94"/>
            <w:gridCol w:w="1591"/>
            <w:gridCol w:w="20"/>
          </w:tblGrid>
          <w:tr w:rsidR="00833633">
            <w:trPr>
              <w:tblCellSpacing w:w="0" w:type="dxa"/>
            </w:trPr>
            <w:tc>
              <w:tcPr>
                <w:tcW w:w="15" w:type="dxa"/>
                <w:tcBorders>
                  <w:left w:val="single" w:sz="6" w:space="0" w:color="000000"/>
                </w:tcBorders>
                <w:shd w:val="clear" w:color="auto" w:fill="FFFFFF"/>
                <w:vAlign w:val="center"/>
                <w:hideMark/>
              </w:tcPr>
              <w:p w:rsidR="00833633"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rsidR="00833633" w:rsidRDefault="00000000">
                <w:pPr>
                  <w:rPr>
                    <w:sz w:val="10"/>
                    <w:szCs w:val="10"/>
                  </w:rPr>
                </w:pPr>
                <w:r>
                  <w:rPr>
                    <w:sz w:val="10"/>
                    <w:szCs w:val="10"/>
                  </w:rPr>
                  <w:t> </w:t>
                </w:r>
              </w:p>
            </w:tc>
            <w:tc>
              <w:tcPr>
                <w:tcW w:w="850" w:type="pct"/>
                <w:vAlign w:val="center"/>
                <w:hideMark/>
              </w:tcPr>
              <w:p w:rsidR="00833633" w:rsidRDefault="00000000">
                <w:pPr>
                  <w:rPr>
                    <w:sz w:val="10"/>
                    <w:szCs w:val="10"/>
                  </w:rPr>
                </w:pPr>
                <w:r>
                  <w:rPr>
                    <w:b/>
                    <w:sz w:val="10"/>
                    <w:szCs w:val="10"/>
                  </w:rPr>
                  <w:t>TOTO Europe GmbH</w:t>
                </w:r>
                <w:r>
                  <w:rPr>
                    <w:b/>
                    <w:sz w:val="10"/>
                    <w:szCs w:val="10"/>
                  </w:rPr>
                  <w:br/>
                </w:r>
                <w:r>
                  <w:rPr>
                    <w:sz w:val="10"/>
                    <w:szCs w:val="10"/>
                  </w:rPr>
                  <w:t>Zollhof 2</w:t>
                </w:r>
                <w:r>
                  <w:rPr>
                    <w:sz w:val="10"/>
                    <w:szCs w:val="10"/>
                  </w:rPr>
                  <w:br/>
                  <w:t>40221 Düsseldorf</w:t>
                </w:r>
                <w:r>
                  <w:rPr>
                    <w:sz w:val="10"/>
                    <w:szCs w:val="10"/>
                  </w:rPr>
                  <w:br/>
                  <w:t>Germany</w:t>
                </w:r>
              </w:p>
            </w:tc>
            <w:tc>
              <w:tcPr>
                <w:tcW w:w="15" w:type="dxa"/>
                <w:tcBorders>
                  <w:left w:val="single" w:sz="6" w:space="0" w:color="000000"/>
                </w:tcBorders>
                <w:shd w:val="clear" w:color="auto" w:fill="FFFFFF"/>
                <w:vAlign w:val="center"/>
                <w:hideMark/>
              </w:tcPr>
              <w:p w:rsidR="00833633"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rsidR="00833633" w:rsidRDefault="00000000">
                <w:pPr>
                  <w:rPr>
                    <w:sz w:val="10"/>
                    <w:szCs w:val="10"/>
                  </w:rPr>
                </w:pPr>
                <w:r>
                  <w:rPr>
                    <w:sz w:val="10"/>
                    <w:szCs w:val="10"/>
                  </w:rPr>
                  <w:t> </w:t>
                </w:r>
              </w:p>
            </w:tc>
            <w:tc>
              <w:tcPr>
                <w:tcW w:w="850" w:type="pct"/>
                <w:vAlign w:val="center"/>
                <w:hideMark/>
              </w:tcPr>
              <w:p w:rsidR="00833633" w:rsidRDefault="00000000">
                <w:pPr>
                  <w:rPr>
                    <w:sz w:val="10"/>
                    <w:szCs w:val="10"/>
                  </w:rPr>
                </w:pPr>
                <w:r>
                  <w:rPr>
                    <w:sz w:val="10"/>
                    <w:szCs w:val="10"/>
                  </w:rPr>
                  <w:t>T +49 (0)211 2 73 08-200</w:t>
                </w:r>
                <w:r>
                  <w:rPr>
                    <w:sz w:val="10"/>
                    <w:szCs w:val="10"/>
                  </w:rPr>
                  <w:br/>
                  <w:t>F +49 (0)211 2 73 08-202</w:t>
                </w:r>
                <w:r>
                  <w:rPr>
                    <w:sz w:val="10"/>
                    <w:szCs w:val="10"/>
                  </w:rPr>
                  <w:br/>
                  <w:t>teu.info@toto.com</w:t>
                </w:r>
                <w:r>
                  <w:rPr>
                    <w:sz w:val="10"/>
                    <w:szCs w:val="10"/>
                  </w:rPr>
                  <w:br/>
                  <w:t>eu.toto.com</w:t>
                </w:r>
              </w:p>
            </w:tc>
            <w:tc>
              <w:tcPr>
                <w:tcW w:w="15" w:type="dxa"/>
                <w:tcBorders>
                  <w:left w:val="single" w:sz="6" w:space="0" w:color="000000"/>
                </w:tcBorders>
                <w:shd w:val="clear" w:color="auto" w:fill="FFFFFF"/>
                <w:vAlign w:val="center"/>
                <w:hideMark/>
              </w:tcPr>
              <w:p w:rsidR="00833633"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rsidR="00833633" w:rsidRDefault="00000000">
                <w:pPr>
                  <w:rPr>
                    <w:sz w:val="10"/>
                    <w:szCs w:val="10"/>
                  </w:rPr>
                </w:pPr>
                <w:r>
                  <w:rPr>
                    <w:sz w:val="10"/>
                    <w:szCs w:val="10"/>
                  </w:rPr>
                  <w:t> </w:t>
                </w:r>
              </w:p>
            </w:tc>
            <w:tc>
              <w:tcPr>
                <w:tcW w:w="1150" w:type="pct"/>
                <w:vAlign w:val="center"/>
                <w:hideMark/>
              </w:tcPr>
              <w:p w:rsidR="00833633" w:rsidRDefault="00000000">
                <w:pPr>
                  <w:rPr>
                    <w:sz w:val="10"/>
                    <w:szCs w:val="10"/>
                  </w:rPr>
                </w:pPr>
                <w:r>
                  <w:rPr>
                    <w:sz w:val="10"/>
                    <w:szCs w:val="10"/>
                  </w:rPr>
                  <w:t>Commerzbank AG Essen</w:t>
                </w:r>
                <w:r>
                  <w:rPr>
                    <w:sz w:val="10"/>
                    <w:szCs w:val="10"/>
                  </w:rPr>
                  <w:br/>
                  <w:t xml:space="preserve">BLZ: 360 400 </w:t>
                </w:r>
                <w:proofErr w:type="gramStart"/>
                <w:r>
                  <w:rPr>
                    <w:sz w:val="10"/>
                    <w:szCs w:val="10"/>
                  </w:rPr>
                  <w:t>39 .</w:t>
                </w:r>
                <w:proofErr w:type="gramEnd"/>
                <w:r>
                  <w:rPr>
                    <w:sz w:val="10"/>
                    <w:szCs w:val="10"/>
                  </w:rPr>
                  <w:t xml:space="preserve"> KTO: 150 6211</w:t>
                </w:r>
                <w:r>
                  <w:rPr>
                    <w:sz w:val="10"/>
                    <w:szCs w:val="10"/>
                  </w:rPr>
                  <w:br/>
                  <w:t>IBAN: DE 32 36040039 0150621100</w:t>
                </w:r>
                <w:r>
                  <w:rPr>
                    <w:sz w:val="10"/>
                    <w:szCs w:val="10"/>
                  </w:rPr>
                  <w:br/>
                  <w:t>BIC: COBADEFF360</w:t>
                </w:r>
              </w:p>
            </w:tc>
            <w:tc>
              <w:tcPr>
                <w:tcW w:w="15" w:type="dxa"/>
                <w:tcBorders>
                  <w:left w:val="single" w:sz="6" w:space="0" w:color="000000"/>
                </w:tcBorders>
                <w:shd w:val="clear" w:color="auto" w:fill="FFFFFF"/>
                <w:vAlign w:val="center"/>
                <w:hideMark/>
              </w:tcPr>
              <w:p w:rsidR="00833633"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rsidR="00833633" w:rsidRDefault="00000000">
                <w:pPr>
                  <w:rPr>
                    <w:sz w:val="10"/>
                    <w:szCs w:val="10"/>
                  </w:rPr>
                </w:pPr>
                <w:r>
                  <w:rPr>
                    <w:sz w:val="10"/>
                    <w:szCs w:val="10"/>
                  </w:rPr>
                  <w:t> </w:t>
                </w:r>
              </w:p>
            </w:tc>
            <w:tc>
              <w:tcPr>
                <w:tcW w:w="1050" w:type="pct"/>
                <w:vAlign w:val="center"/>
                <w:hideMark/>
              </w:tcPr>
              <w:p w:rsidR="00833633" w:rsidRDefault="00000000">
                <w:pPr>
                  <w:rPr>
                    <w:sz w:val="10"/>
                    <w:szCs w:val="10"/>
                  </w:rPr>
                </w:pPr>
                <w:r>
                  <w:rPr>
                    <w:sz w:val="10"/>
                    <w:szCs w:val="10"/>
                  </w:rPr>
                  <w:t xml:space="preserve">AG </w:t>
                </w:r>
                <w:proofErr w:type="gramStart"/>
                <w:r>
                  <w:rPr>
                    <w:sz w:val="10"/>
                    <w:szCs w:val="10"/>
                  </w:rPr>
                  <w:t>Düsseldorf .</w:t>
                </w:r>
                <w:proofErr w:type="gramEnd"/>
                <w:r>
                  <w:rPr>
                    <w:sz w:val="10"/>
                    <w:szCs w:val="10"/>
                  </w:rPr>
                  <w:t xml:space="preserve"> HRB 24827</w:t>
                </w:r>
                <w:r>
                  <w:rPr>
                    <w:sz w:val="10"/>
                    <w:szCs w:val="10"/>
                  </w:rPr>
                  <w:br/>
                  <w:t>Geschäftsführer:</w:t>
                </w:r>
                <w:r>
                  <w:rPr>
                    <w:sz w:val="10"/>
                    <w:szCs w:val="10"/>
                  </w:rPr>
                  <w:br/>
                </w:r>
                <w:proofErr w:type="spellStart"/>
                <w:r>
                  <w:rPr>
                    <w:sz w:val="10"/>
                    <w:szCs w:val="10"/>
                  </w:rPr>
                  <w:t>Tatsuhiko</w:t>
                </w:r>
                <w:proofErr w:type="spellEnd"/>
                <w:r>
                  <w:rPr>
                    <w:sz w:val="10"/>
                    <w:szCs w:val="10"/>
                  </w:rPr>
                  <w:t xml:space="preserve"> </w:t>
                </w:r>
                <w:proofErr w:type="spellStart"/>
                <w:r>
                  <w:rPr>
                    <w:sz w:val="10"/>
                    <w:szCs w:val="10"/>
                  </w:rPr>
                  <w:t>Yasaka</w:t>
                </w:r>
                <w:proofErr w:type="spellEnd"/>
                <w:r>
                  <w:rPr>
                    <w:sz w:val="10"/>
                    <w:szCs w:val="10"/>
                  </w:rPr>
                  <w:br/>
                  <w:t>  </w:t>
                </w:r>
              </w:p>
            </w:tc>
            <w:tc>
              <w:tcPr>
                <w:tcW w:w="15" w:type="dxa"/>
                <w:tcBorders>
                  <w:left w:val="single" w:sz="6" w:space="0" w:color="000000"/>
                </w:tcBorders>
                <w:shd w:val="clear" w:color="auto" w:fill="FFFFFF"/>
                <w:vAlign w:val="center"/>
                <w:hideMark/>
              </w:tcPr>
              <w:p w:rsidR="00833633" w:rsidRDefault="00000000">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rsidR="00833633" w:rsidRDefault="00000000">
                <w:pPr>
                  <w:rPr>
                    <w:sz w:val="10"/>
                    <w:szCs w:val="10"/>
                  </w:rPr>
                </w:pPr>
                <w:r>
                  <w:rPr>
                    <w:sz w:val="10"/>
                    <w:szCs w:val="10"/>
                  </w:rPr>
                  <w:t> </w:t>
                </w:r>
              </w:p>
            </w:tc>
            <w:tc>
              <w:tcPr>
                <w:tcW w:w="850" w:type="pct"/>
                <w:vAlign w:val="center"/>
                <w:hideMark/>
              </w:tcPr>
              <w:p w:rsidR="00833633" w:rsidRDefault="00000000">
                <w:pPr>
                  <w:rPr>
                    <w:sz w:val="10"/>
                    <w:szCs w:val="10"/>
                  </w:rPr>
                </w:pPr>
                <w:r>
                  <w:rPr>
                    <w:sz w:val="10"/>
                    <w:szCs w:val="10"/>
                  </w:rPr>
                  <w:t>WEEE-Reg.-Nr. DE 88787165</w:t>
                </w:r>
                <w:r>
                  <w:rPr>
                    <w:sz w:val="10"/>
                    <w:szCs w:val="10"/>
                  </w:rPr>
                  <w:br/>
                  <w:t>USTID-NR: DE258501442</w:t>
                </w:r>
                <w:r>
                  <w:rPr>
                    <w:sz w:val="10"/>
                    <w:szCs w:val="10"/>
                  </w:rPr>
                  <w:br/>
                  <w:t>ST-NR: 106/5727/1323</w:t>
                </w:r>
                <w:r>
                  <w:rPr>
                    <w:sz w:val="10"/>
                    <w:szCs w:val="10"/>
                  </w:rPr>
                  <w:br/>
                  <w:t>  </w:t>
                </w:r>
              </w:p>
            </w:tc>
            <w:tc>
              <w:tcPr>
                <w:tcW w:w="28" w:type="dxa"/>
                <w:vAlign w:val="center"/>
                <w:hideMark/>
              </w:tcPr>
              <w:p w:rsidR="00833633" w:rsidRDefault="00000000">
                <w:pPr>
                  <w:rPr>
                    <w:sz w:val="10"/>
                    <w:szCs w:val="10"/>
                  </w:rPr>
                </w:pPr>
                <w:r>
                  <w:rPr>
                    <w:sz w:val="10"/>
                    <w:szCs w:val="10"/>
                  </w:rPr>
                  <w:t> </w:t>
                </w:r>
              </w:p>
            </w:tc>
          </w:tr>
        </w:tbl>
        <w:p w:rsidR="00833633" w:rsidRDefault="00833633">
          <w:pPr>
            <w:rPr>
              <w:sz w:val="10"/>
              <w:szCs w:val="10"/>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rsidR="00833633" w:rsidRDefault="00833633">
          <w:pPr>
            <w:rPr>
              <w:sz w:val="10"/>
              <w:szCs w:val="10"/>
            </w:rPr>
          </w:pPr>
        </w:p>
      </w:tc>
    </w:tr>
  </w:tbl>
  <w:p w:rsidR="00833633" w:rsidRDefault="00833633">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1A4A7D" w:rsidRDefault="001A4A7D">
      <w:pPr>
        <w:spacing w:line="240" w:lineRule="auto"/>
      </w:pPr>
      <w:r>
        <w:separator/>
      </w:r>
    </w:p>
  </w:footnote>
  <w:footnote w:type="continuationSeparator" w:id="0">
    <w:p w:rsidR="001A4A7D" w:rsidRDefault="001A4A7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33633" w:rsidRDefault="00000000">
    <w:r>
      <w:rPr>
        <w:noProof/>
      </w:rPr>
      <w:drawing>
        <wp:anchor distT="0" distB="0" distL="114300" distR="114300" simplePos="0" relativeHeight="251659264" behindDoc="0" locked="0" layoutInCell="0" allowOverlap="0">
          <wp:simplePos x="0" y="0"/>
          <wp:positionH relativeFrom="page">
            <wp:posOffset>5723890</wp:posOffset>
          </wp:positionH>
          <wp:positionV relativeFrom="page">
            <wp:posOffset>396240</wp:posOffset>
          </wp:positionV>
          <wp:extent cx="1368425" cy="31813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1368425" cy="318135"/>
                  </a:xfrm>
                  <a:prstGeom prst="rect">
                    <a:avLst/>
                  </a:prstGeom>
                </pic:spPr>
              </pic:pic>
            </a:graphicData>
          </a:graphic>
        </wp:anchor>
      </w:drawing>
    </w:r>
    <w:r>
      <w:rPr>
        <w:rFonts w:eastAsia="Arial"/>
        <w:b/>
        <w:sz w:val="24"/>
        <w:szCs w:val="24"/>
      </w:rPr>
      <w:t>Press Information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833633" w:rsidRDefault="00000000">
    <w:pPr>
      <w:rPr>
        <w:color w:val="343434"/>
      </w:rPr>
    </w:pPr>
    <w:r>
      <w:rPr>
        <w:noProof/>
        <w:color w:val="343434"/>
      </w:rPr>
      <w:drawing>
        <wp:anchor distT="0" distB="0" distL="114300" distR="114300" simplePos="0" relativeHeight="251658240" behindDoc="0" locked="0" layoutInCell="0" allowOverlap="0">
          <wp:simplePos x="0" y="0"/>
          <wp:positionH relativeFrom="page">
            <wp:posOffset>5544185</wp:posOffset>
          </wp:positionH>
          <wp:positionV relativeFrom="page">
            <wp:posOffset>396240</wp:posOffset>
          </wp:positionV>
          <wp:extent cx="1368425" cy="31813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1368425" cy="318135"/>
                  </a:xfrm>
                  <a:prstGeom prst="rect">
                    <a:avLst/>
                  </a:prstGeom>
                </pic:spPr>
              </pic:pic>
            </a:graphicData>
          </a:graphic>
        </wp:anchor>
      </w:drawing>
    </w:r>
    <w:r>
      <w:rPr>
        <w:rFonts w:eastAsia="Arial"/>
        <w:b/>
        <w:color w:val="343434"/>
        <w:sz w:val="24"/>
        <w:szCs w:val="24"/>
      </w:rPr>
      <w:t>Press 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3"/>
  <w:proofState w:spelling="clean" w:grammar="clean"/>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833633"/>
    <w:rsid w:val="000D1FC3"/>
    <w:rsid w:val="001A4A7D"/>
    <w:rsid w:val="00833633"/>
    <w:rsid w:val="00873C1C"/>
  </w:rsids>
  <m:mathPr>
    <m:mathFont m:val="Cambria Math"/>
    <m:brkBin m:val="before"/>
    <m:brkBinSub m:val="--"/>
    <m:smallFrac m:val="0"/>
    <m:dispDef/>
    <m:lMargin m:val="0"/>
    <m:rMargin m:val="0"/>
    <m:defJc m:val="centerGroup"/>
    <m:wrapIndent m:val="0"/>
    <m:intLim m:val="undOvr"/>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73258D5D"/>
  <w15:docId w15:val="{695521C4-351C-E94A-B67E-94F3131DCD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Arial"/>
        <w:color w:val="000000"/>
        <w:sz w:val="22"/>
        <w:szCs w:val="22"/>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hyperlink" Target="https://eu.toto.com/de" TargetMode="External"/><Relationship Id="rId7" Type="http://schemas.openxmlformats.org/officeDocument/2006/relationships/hyperlink" Target="https://eu.toto.com/de" TargetMode="Externa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image" Target="media/image10.jpg"/><Relationship Id="rId20" Type="http://schemas.openxmlformats.org/officeDocument/2006/relationships/hyperlink" Target="https://jp.toto.com/assets/files/report2024_data_en.pdf" TargetMode="Externa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5.jpg"/><Relationship Id="rId24" Type="http://schemas.openxmlformats.org/officeDocument/2006/relationships/header" Target="header2.xml"/><Relationship Id="rId5"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footer" Target="footer1.xml"/><Relationship Id="rId10" Type="http://schemas.openxmlformats.org/officeDocument/2006/relationships/image" Target="media/image4.jpg"/><Relationship Id="rId19" Type="http://schemas.openxmlformats.org/officeDocument/2006/relationships/hyperlink" Target="https://sciencebasedtargets.org/about-us" TargetMode="External"/><Relationship Id="rId4" Type="http://schemas.openxmlformats.org/officeDocument/2006/relationships/footnotes" Target="footnote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header" Target="header1.xm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3.jpg"/></Relationships>
</file>

<file path=word/_rels/header2.xml.rels><?xml version="1.0" encoding="UTF-8" standalone="yes"?>
<Relationships xmlns="http://schemas.openxmlformats.org/package/2006/relationships"><Relationship Id="rId1" Type="http://schemas.openxmlformats.org/officeDocument/2006/relationships/image" Target="media/image1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1283</Words>
  <Characters>8086</Characters>
  <Application>Microsoft Office Word</Application>
  <DocSecurity>0</DocSecurity>
  <Lines>67</Lines>
  <Paragraphs>18</Paragraphs>
  <ScaleCrop>false</ScaleCrop>
  <Company/>
  <LinksUpToDate>false</LinksUpToDate>
  <CharactersWithSpaces>9351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Bettina Wassermann</cp:lastModifiedBy>
  <cp:revision>2</cp:revision>
  <dcterms:created xsi:type="dcterms:W3CDTF">2025-07-03T12:34:00Z</dcterms:created>
  <dcterms:modified xsi:type="dcterms:W3CDTF">2025-07-03T12:36:00Z</dcterms:modified>
</cp:coreProperties>
</file>